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D6" w:rsidRPr="009146D0" w:rsidRDefault="00571E96" w:rsidP="00081D48">
      <w:pPr>
        <w:widowControl w:val="0"/>
        <w:spacing w:line="276" w:lineRule="auto"/>
        <w:ind w:firstLine="369"/>
        <w:jc w:val="center"/>
        <w:rPr>
          <w:rFonts w:ascii="Times New Roman" w:hAnsi="Times New Roman" w:cs="Times New Roman"/>
          <w:b/>
          <w:lang w:val="nl-NL"/>
        </w:rPr>
      </w:pPr>
      <w:r w:rsidRPr="009146D0">
        <w:rPr>
          <w:rFonts w:ascii="Times New Roman" w:hAnsi="Times New Roman" w:cs="Times New Roman"/>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5pt;margin-top:.45pt;width:452.15pt;height:56.7pt;z-index:251658240;mso-wrap-edited:f" fillcolor="#039" strokecolor="#039" strokeweight="0">
            <v:shadow color="#868686"/>
            <v:textpath style="font-family:&quot;.VnArialH&quot;;font-weight:bold;v-text-kern:t" trim="t" fitpath="t" string="THAY §æI, Bæ SUNG, RóT KH¸NG C¸O THEO QUY §ÞNH  &#10;CñA LUËT Tè TôNG HµNH CHÝNH N¡M 2015 (SöA §æI, Bæ SUNG N¡M 2019)"/>
          </v:shape>
        </w:pict>
      </w:r>
    </w:p>
    <w:p w:rsidR="00CC0CD6" w:rsidRPr="009146D0" w:rsidRDefault="00CC0CD6" w:rsidP="00081D48">
      <w:pPr>
        <w:widowControl w:val="0"/>
        <w:spacing w:line="276" w:lineRule="auto"/>
        <w:ind w:firstLine="369"/>
        <w:jc w:val="center"/>
        <w:rPr>
          <w:rFonts w:ascii="Times New Roman" w:hAnsi="Times New Roman" w:cs="Times New Roman"/>
          <w:b/>
          <w:lang w:val="nl-NL"/>
        </w:rPr>
      </w:pPr>
    </w:p>
    <w:p w:rsidR="00CC0CD6" w:rsidRPr="009146D0" w:rsidRDefault="00CC0CD6" w:rsidP="00081D48">
      <w:pPr>
        <w:widowControl w:val="0"/>
        <w:spacing w:line="276" w:lineRule="auto"/>
        <w:ind w:firstLine="369"/>
        <w:jc w:val="center"/>
        <w:rPr>
          <w:rFonts w:ascii="Times New Roman" w:hAnsi="Times New Roman" w:cs="Times New Roman"/>
          <w:b/>
          <w:lang w:val="nl-NL"/>
        </w:rPr>
      </w:pPr>
    </w:p>
    <w:p w:rsidR="00CC0CD6" w:rsidRPr="009146D0" w:rsidRDefault="00CC0CD6" w:rsidP="00081D48">
      <w:pPr>
        <w:widowControl w:val="0"/>
        <w:spacing w:line="276" w:lineRule="auto"/>
        <w:ind w:firstLine="369"/>
        <w:jc w:val="center"/>
        <w:rPr>
          <w:rFonts w:ascii="Times New Roman" w:hAnsi="Times New Roman" w:cs="Times New Roman"/>
          <w:b/>
          <w:sz w:val="10"/>
          <w:lang w:val="nl-NL"/>
        </w:rPr>
      </w:pPr>
    </w:p>
    <w:p w:rsidR="003427FB" w:rsidRPr="009146D0" w:rsidRDefault="003427FB" w:rsidP="00CC0CD6">
      <w:pPr>
        <w:widowControl w:val="0"/>
        <w:spacing w:line="276" w:lineRule="auto"/>
        <w:ind w:firstLine="369"/>
        <w:jc w:val="center"/>
        <w:rPr>
          <w:rFonts w:ascii="Times New Roman" w:hAnsi="Times New Roman" w:cs="Times New Roman"/>
          <w:lang w:val="nl-NL"/>
        </w:rPr>
      </w:pPr>
    </w:p>
    <w:p w:rsidR="00F025DB" w:rsidRPr="009146D0" w:rsidRDefault="00F025DB" w:rsidP="00CC0CD6">
      <w:pPr>
        <w:widowControl w:val="0"/>
        <w:spacing w:line="276" w:lineRule="auto"/>
        <w:ind w:firstLine="369"/>
        <w:jc w:val="center"/>
        <w:rPr>
          <w:rFonts w:ascii="Times New Roman" w:hAnsi="Times New Roman" w:cs="Times New Roman"/>
          <w:sz w:val="28"/>
          <w:szCs w:val="28"/>
          <w:lang w:val="nl-NL"/>
        </w:rPr>
      </w:pPr>
    </w:p>
    <w:p w:rsidR="009424F0" w:rsidRPr="009146D0" w:rsidRDefault="00CC0CD6" w:rsidP="00081D48">
      <w:pPr>
        <w:widowControl w:val="0"/>
        <w:spacing w:line="276" w:lineRule="auto"/>
        <w:ind w:firstLine="369"/>
        <w:jc w:val="right"/>
        <w:rPr>
          <w:rFonts w:ascii="UTM Neo Sans Intel" w:hAnsi="UTM Neo Sans Intel" w:cs="Times New Roman"/>
          <w:b/>
          <w:i/>
          <w:sz w:val="22"/>
          <w:szCs w:val="22"/>
          <w:lang w:val="nl-NL"/>
        </w:rPr>
      </w:pPr>
      <w:r w:rsidRPr="009146D0">
        <w:rPr>
          <w:rFonts w:ascii="UTM Neo Sans Intel" w:hAnsi="UTM Neo Sans Intel" w:cs="Times New Roman"/>
          <w:b/>
          <w:i/>
          <w:sz w:val="22"/>
          <w:szCs w:val="22"/>
          <w:lang w:val="nl-NL"/>
        </w:rPr>
        <w:t>LÊ THỊ MƠ *</w:t>
      </w:r>
    </w:p>
    <w:p w:rsidR="00877FCA" w:rsidRPr="009146D0" w:rsidRDefault="00877FCA" w:rsidP="004B43CD">
      <w:pPr>
        <w:widowControl w:val="0"/>
        <w:spacing w:before="120" w:line="259" w:lineRule="auto"/>
        <w:ind w:firstLine="369"/>
        <w:jc w:val="both"/>
        <w:rPr>
          <w:rFonts w:ascii="Times New Roman" w:hAnsi="Times New Roman" w:cs="Times New Roman"/>
          <w:i/>
          <w:sz w:val="22"/>
          <w:szCs w:val="22"/>
          <w:lang w:val="nl-NL"/>
        </w:rPr>
      </w:pPr>
      <w:r w:rsidRPr="009146D0">
        <w:rPr>
          <w:rFonts w:ascii="Times New Roman" w:hAnsi="Times New Roman" w:cs="Times New Roman"/>
          <w:b/>
          <w:i/>
          <w:sz w:val="22"/>
          <w:szCs w:val="22"/>
          <w:lang w:val="nl-NL"/>
        </w:rPr>
        <w:t>Tóm tắt:</w:t>
      </w:r>
      <w:r w:rsidRPr="009146D0">
        <w:rPr>
          <w:rFonts w:ascii="Times New Roman" w:hAnsi="Times New Roman" w:cs="Times New Roman"/>
          <w:b/>
          <w:sz w:val="22"/>
          <w:szCs w:val="22"/>
          <w:lang w:val="nl-NL"/>
        </w:rPr>
        <w:t xml:space="preserve"> </w:t>
      </w:r>
      <w:r w:rsidR="006B0434" w:rsidRPr="009146D0">
        <w:rPr>
          <w:rFonts w:ascii="Times New Roman" w:hAnsi="Times New Roman" w:cs="Times New Roman"/>
          <w:i/>
          <w:iCs/>
          <w:sz w:val="22"/>
          <w:szCs w:val="22"/>
          <w:lang w:val="nl-NL"/>
        </w:rPr>
        <w:t xml:space="preserve">Luật </w:t>
      </w:r>
      <w:r w:rsidR="000B0037" w:rsidRPr="009146D0">
        <w:rPr>
          <w:rFonts w:ascii="Times New Roman" w:hAnsi="Times New Roman" w:cs="Times New Roman"/>
          <w:i/>
          <w:iCs/>
          <w:sz w:val="22"/>
          <w:szCs w:val="22"/>
          <w:lang w:val="nl-NL"/>
        </w:rPr>
        <w:t>Tố tụng hành chính</w:t>
      </w:r>
      <w:r w:rsidR="006B0434" w:rsidRPr="009146D0">
        <w:rPr>
          <w:rFonts w:ascii="Times New Roman" w:hAnsi="Times New Roman" w:cs="Times New Roman"/>
          <w:i/>
          <w:iCs/>
          <w:sz w:val="22"/>
          <w:szCs w:val="22"/>
          <w:lang w:val="nl-NL"/>
        </w:rPr>
        <w:t xml:space="preserve"> năm 2015 (sửa đổi, bổ sung năm 2019) quy định về thay đổi, bổ sung, rút kháng cáo tại Điều 218 và một số điều khoản khác có liên quan. Tuy nhiên, </w:t>
      </w:r>
      <w:r w:rsidR="000B0037" w:rsidRPr="009146D0">
        <w:rPr>
          <w:rFonts w:ascii="Times New Roman" w:hAnsi="Times New Roman" w:cs="Times New Roman"/>
          <w:i/>
          <w:iCs/>
          <w:sz w:val="22"/>
          <w:szCs w:val="22"/>
          <w:lang w:val="nl-NL"/>
        </w:rPr>
        <w:t>các</w:t>
      </w:r>
      <w:r w:rsidR="006B0434" w:rsidRPr="009146D0">
        <w:rPr>
          <w:rFonts w:ascii="Times New Roman" w:hAnsi="Times New Roman" w:cs="Times New Roman"/>
          <w:i/>
          <w:iCs/>
          <w:sz w:val="22"/>
          <w:szCs w:val="22"/>
          <w:lang w:val="nl-NL"/>
        </w:rPr>
        <w:t xml:space="preserve"> quy định này còn hạn chế, bất cập, gây khó khăn cho việc tìm hiểu, áp dụng thống nhất pháp luật. Từ việc phân tích quy định về thay đổi, bổ sung, rút kháng cáo của người kháng cáo, bài viết tập trung luận giải, chứng minh rõ các hạn chế như: Luật Tố tụng hành chính chưa quy định rõ thế nào là thay đổi, bổ sung kháng cáo không vượt quá phạm vi kháng cáo ban đầu, quy định về thẩm quyền đình chỉ xét xử phúc thẩm khi người kháng cáo rút kháng cáo còn chồng chéo…</w:t>
      </w:r>
      <w:r w:rsidR="003E0CBA" w:rsidRPr="009146D0">
        <w:rPr>
          <w:rFonts w:ascii="Times New Roman" w:hAnsi="Times New Roman" w:cs="Times New Roman"/>
          <w:i/>
          <w:iCs/>
          <w:sz w:val="22"/>
          <w:szCs w:val="22"/>
          <w:lang w:val="nl-NL"/>
        </w:rPr>
        <w:t xml:space="preserve"> </w:t>
      </w:r>
      <w:r w:rsidR="006B0434" w:rsidRPr="009146D0">
        <w:rPr>
          <w:rFonts w:ascii="Times New Roman" w:hAnsi="Times New Roman" w:cs="Times New Roman"/>
          <w:i/>
          <w:iCs/>
          <w:sz w:val="22"/>
          <w:szCs w:val="22"/>
          <w:lang w:val="nl-NL"/>
        </w:rPr>
        <w:t xml:space="preserve">và đề xuất giải pháp, kiến nghị để hoàn thiện các </w:t>
      </w:r>
      <w:r w:rsidR="00581295" w:rsidRPr="009146D0">
        <w:rPr>
          <w:rFonts w:ascii="Times New Roman" w:hAnsi="Times New Roman" w:cs="Times New Roman"/>
          <w:i/>
          <w:iCs/>
          <w:sz w:val="22"/>
          <w:szCs w:val="22"/>
          <w:lang w:val="nl-NL"/>
        </w:rPr>
        <w:t>hạn chế</w:t>
      </w:r>
      <w:r w:rsidR="006B0434" w:rsidRPr="009146D0">
        <w:rPr>
          <w:rFonts w:ascii="Times New Roman" w:hAnsi="Times New Roman" w:cs="Times New Roman"/>
          <w:i/>
          <w:iCs/>
          <w:sz w:val="22"/>
          <w:szCs w:val="22"/>
          <w:lang w:val="nl-NL"/>
        </w:rPr>
        <w:t xml:space="preserve"> </w:t>
      </w:r>
      <w:r w:rsidR="000B0037" w:rsidRPr="009146D0">
        <w:rPr>
          <w:rFonts w:ascii="Times New Roman" w:hAnsi="Times New Roman" w:cs="Times New Roman"/>
          <w:i/>
          <w:iCs/>
          <w:sz w:val="22"/>
          <w:szCs w:val="22"/>
          <w:lang w:val="nl-NL"/>
        </w:rPr>
        <w:t>nêu trên</w:t>
      </w:r>
      <w:r w:rsidR="006B0434" w:rsidRPr="009146D0">
        <w:rPr>
          <w:rFonts w:ascii="Times New Roman" w:hAnsi="Times New Roman" w:cs="Times New Roman"/>
          <w:sz w:val="22"/>
          <w:szCs w:val="22"/>
          <w:lang w:val="nl-NL"/>
        </w:rPr>
        <w:t>.</w:t>
      </w:r>
    </w:p>
    <w:p w:rsidR="006E587A" w:rsidRPr="009146D0" w:rsidRDefault="006E587A" w:rsidP="004B43CD">
      <w:pPr>
        <w:widowControl w:val="0"/>
        <w:spacing w:before="60" w:line="259" w:lineRule="auto"/>
        <w:ind w:firstLine="369"/>
        <w:jc w:val="both"/>
        <w:rPr>
          <w:rFonts w:ascii="Times New Roman" w:hAnsi="Times New Roman" w:cs="Times New Roman"/>
          <w:i/>
          <w:sz w:val="22"/>
          <w:szCs w:val="22"/>
          <w:lang w:val="nl-NL"/>
        </w:rPr>
      </w:pPr>
      <w:r w:rsidRPr="009146D0">
        <w:rPr>
          <w:rFonts w:ascii="Times New Roman" w:hAnsi="Times New Roman" w:cs="Times New Roman"/>
          <w:i/>
          <w:sz w:val="22"/>
          <w:szCs w:val="22"/>
          <w:u w:val="single"/>
          <w:lang w:val="nl-NL"/>
        </w:rPr>
        <w:t>Từ kh</w:t>
      </w:r>
      <w:r w:rsidR="00CC0CD6" w:rsidRPr="009146D0">
        <w:rPr>
          <w:rFonts w:ascii="Times New Roman" w:hAnsi="Times New Roman" w:cs="Times New Roman"/>
          <w:i/>
          <w:sz w:val="22"/>
          <w:szCs w:val="22"/>
          <w:u w:val="single"/>
          <w:lang w:val="nl-NL"/>
        </w:rPr>
        <w:t>oá</w:t>
      </w:r>
      <w:r w:rsidRPr="009146D0">
        <w:rPr>
          <w:rFonts w:ascii="Times New Roman" w:hAnsi="Times New Roman" w:cs="Times New Roman"/>
          <w:i/>
          <w:sz w:val="22"/>
          <w:szCs w:val="22"/>
          <w:lang w:val="nl-NL"/>
        </w:rPr>
        <w:t xml:space="preserve">: </w:t>
      </w:r>
      <w:r w:rsidR="004721D0" w:rsidRPr="009146D0">
        <w:rPr>
          <w:rFonts w:ascii="Times New Roman" w:hAnsi="Times New Roman" w:cs="Times New Roman"/>
          <w:i/>
          <w:sz w:val="22"/>
          <w:szCs w:val="22"/>
          <w:lang w:val="nl-NL"/>
        </w:rPr>
        <w:t>K</w:t>
      </w:r>
      <w:r w:rsidR="007754D0" w:rsidRPr="009146D0">
        <w:rPr>
          <w:rFonts w:ascii="Times New Roman" w:hAnsi="Times New Roman" w:cs="Times New Roman"/>
          <w:i/>
          <w:sz w:val="22"/>
          <w:szCs w:val="22"/>
          <w:lang w:val="nl-NL"/>
        </w:rPr>
        <w:t>háng cáo,</w:t>
      </w:r>
      <w:r w:rsidR="009B40AF" w:rsidRPr="009146D0">
        <w:rPr>
          <w:rFonts w:ascii="Times New Roman" w:hAnsi="Times New Roman" w:cs="Times New Roman"/>
          <w:i/>
          <w:sz w:val="22"/>
          <w:szCs w:val="22"/>
          <w:lang w:val="nl-NL"/>
        </w:rPr>
        <w:t xml:space="preserve"> người kháng cáo,</w:t>
      </w:r>
      <w:r w:rsidR="007754D0" w:rsidRPr="009146D0">
        <w:rPr>
          <w:rFonts w:ascii="Times New Roman" w:hAnsi="Times New Roman" w:cs="Times New Roman"/>
          <w:i/>
          <w:sz w:val="22"/>
          <w:szCs w:val="22"/>
          <w:lang w:val="nl-NL"/>
        </w:rPr>
        <w:t xml:space="preserve"> phúc thẩ</w:t>
      </w:r>
      <w:r w:rsidR="008440E8" w:rsidRPr="009146D0">
        <w:rPr>
          <w:rFonts w:ascii="Times New Roman" w:hAnsi="Times New Roman" w:cs="Times New Roman"/>
          <w:i/>
          <w:sz w:val="22"/>
          <w:szCs w:val="22"/>
          <w:lang w:val="nl-NL"/>
        </w:rPr>
        <w:t>m</w:t>
      </w:r>
      <w:r w:rsidR="004721D0" w:rsidRPr="009146D0">
        <w:rPr>
          <w:rFonts w:ascii="Times New Roman" w:hAnsi="Times New Roman" w:cs="Times New Roman"/>
          <w:i/>
          <w:sz w:val="22"/>
          <w:szCs w:val="22"/>
          <w:lang w:val="nl-NL"/>
        </w:rPr>
        <w:t>, tố tụng hành chính.</w:t>
      </w:r>
    </w:p>
    <w:p w:rsidR="00CC0CD6" w:rsidRPr="009146D0" w:rsidRDefault="00CC0CD6" w:rsidP="004B43CD">
      <w:pPr>
        <w:widowControl w:val="0"/>
        <w:tabs>
          <w:tab w:val="left" w:pos="3119"/>
          <w:tab w:val="left" w:pos="6946"/>
        </w:tabs>
        <w:spacing w:before="60" w:line="259" w:lineRule="auto"/>
        <w:ind w:firstLine="369"/>
        <w:jc w:val="both"/>
        <w:rPr>
          <w:rFonts w:ascii="Times New Roman" w:hAnsi="Times New Roman" w:cs="Times New Roman"/>
          <w:i/>
          <w:iCs/>
          <w:sz w:val="22"/>
          <w:szCs w:val="22"/>
          <w:lang w:val="nl-NL"/>
        </w:rPr>
      </w:pPr>
      <w:r w:rsidRPr="009146D0">
        <w:rPr>
          <w:rFonts w:ascii="Times New Roman" w:hAnsi="Times New Roman" w:cs="Times New Roman"/>
          <w:i/>
          <w:iCs/>
          <w:sz w:val="22"/>
          <w:szCs w:val="22"/>
          <w:lang w:val="nl-NL"/>
        </w:rPr>
        <w:t xml:space="preserve">Nhận bài: 12/10/2021           </w:t>
      </w:r>
      <w:r w:rsidRPr="009146D0">
        <w:rPr>
          <w:rFonts w:ascii="Times New Roman" w:hAnsi="Times New Roman" w:cs="Times New Roman"/>
          <w:i/>
          <w:iCs/>
          <w:sz w:val="22"/>
          <w:szCs w:val="22"/>
          <w:lang w:val="nl-NL"/>
        </w:rPr>
        <w:tab/>
        <w:t xml:space="preserve">Hoàn thành biên tập: 27/9/2022             </w:t>
      </w:r>
      <w:r w:rsidRPr="009146D0">
        <w:rPr>
          <w:rFonts w:ascii="Times New Roman" w:hAnsi="Times New Roman" w:cs="Times New Roman"/>
          <w:i/>
          <w:iCs/>
          <w:sz w:val="22"/>
          <w:szCs w:val="22"/>
          <w:lang w:val="nl-NL"/>
        </w:rPr>
        <w:tab/>
      </w:r>
      <w:r w:rsidR="002973A2" w:rsidRPr="009146D0">
        <w:rPr>
          <w:rFonts w:ascii="Times New Roman" w:hAnsi="Times New Roman" w:cs="Times New Roman"/>
          <w:i/>
          <w:iCs/>
          <w:sz w:val="22"/>
          <w:szCs w:val="22"/>
          <w:lang w:val="nl-NL"/>
        </w:rPr>
        <w:t xml:space="preserve"> </w:t>
      </w:r>
      <w:r w:rsidRPr="009146D0">
        <w:rPr>
          <w:rFonts w:ascii="Times New Roman" w:hAnsi="Times New Roman" w:cs="Times New Roman"/>
          <w:i/>
          <w:iCs/>
          <w:sz w:val="22"/>
          <w:szCs w:val="22"/>
          <w:lang w:val="nl-NL"/>
        </w:rPr>
        <w:t>Duyệt đăng: 27/9/2022</w:t>
      </w:r>
    </w:p>
    <w:p w:rsidR="00896359" w:rsidRPr="009146D0" w:rsidRDefault="009B40AF" w:rsidP="004B43CD">
      <w:pPr>
        <w:widowControl w:val="0"/>
        <w:spacing w:before="120" w:line="259" w:lineRule="auto"/>
        <w:ind w:firstLine="369"/>
        <w:jc w:val="both"/>
        <w:rPr>
          <w:rFonts w:ascii="Times New Roman" w:hAnsi="Times New Roman" w:cs="Times New Roman"/>
          <w:sz w:val="22"/>
          <w:szCs w:val="22"/>
        </w:rPr>
      </w:pPr>
      <w:r w:rsidRPr="009146D0">
        <w:rPr>
          <w:rFonts w:ascii="Times New Roman" w:hAnsi="Times New Roman" w:cs="Times New Roman"/>
          <w:sz w:val="22"/>
          <w:szCs w:val="22"/>
        </w:rPr>
        <w:t>CHANGES, SUPPLEMENTS</w:t>
      </w:r>
      <w:r w:rsidR="00757431" w:rsidRPr="009146D0">
        <w:rPr>
          <w:rFonts w:ascii="Times New Roman" w:hAnsi="Times New Roman" w:cs="Times New Roman"/>
          <w:sz w:val="22"/>
          <w:szCs w:val="22"/>
        </w:rPr>
        <w:t xml:space="preserve"> AND</w:t>
      </w:r>
      <w:r w:rsidRPr="009146D0">
        <w:rPr>
          <w:rFonts w:ascii="Times New Roman" w:hAnsi="Times New Roman" w:cs="Times New Roman"/>
          <w:sz w:val="22"/>
          <w:szCs w:val="22"/>
        </w:rPr>
        <w:t xml:space="preserve"> WITHDRAWAL </w:t>
      </w:r>
      <w:r w:rsidR="00757431" w:rsidRPr="009146D0">
        <w:rPr>
          <w:rFonts w:ascii="Times New Roman" w:hAnsi="Times New Roman" w:cs="Times New Roman"/>
          <w:sz w:val="22"/>
          <w:szCs w:val="22"/>
        </w:rPr>
        <w:t>OF APPEALS</w:t>
      </w:r>
      <w:r w:rsidRPr="009146D0">
        <w:rPr>
          <w:rFonts w:ascii="Times New Roman" w:hAnsi="Times New Roman" w:cs="Times New Roman"/>
          <w:sz w:val="22"/>
          <w:szCs w:val="22"/>
        </w:rPr>
        <w:t xml:space="preserve"> UNDER PROVISIONS OF </w:t>
      </w:r>
      <w:r w:rsidR="0082479C" w:rsidRPr="009146D0">
        <w:rPr>
          <w:rFonts w:ascii="Times New Roman" w:hAnsi="Times New Roman" w:cs="Times New Roman"/>
          <w:spacing w:val="-4"/>
          <w:sz w:val="22"/>
          <w:szCs w:val="22"/>
        </w:rPr>
        <w:t xml:space="preserve">THE </w:t>
      </w:r>
      <w:r w:rsidRPr="009146D0">
        <w:rPr>
          <w:rFonts w:ascii="Times New Roman" w:hAnsi="Times New Roman" w:cs="Times New Roman"/>
          <w:spacing w:val="-4"/>
          <w:sz w:val="22"/>
          <w:szCs w:val="22"/>
        </w:rPr>
        <w:t xml:space="preserve">ADMINISTRATIVE PROCEDURES LAW 2015 </w:t>
      </w:r>
      <w:r w:rsidR="008D777F" w:rsidRPr="009146D0">
        <w:rPr>
          <w:rFonts w:ascii="Times New Roman" w:hAnsi="Times New Roman" w:cs="Times New Roman"/>
          <w:spacing w:val="-4"/>
          <w:sz w:val="22"/>
          <w:szCs w:val="22"/>
        </w:rPr>
        <w:t>(</w:t>
      </w:r>
      <w:r w:rsidRPr="009146D0">
        <w:rPr>
          <w:rFonts w:ascii="Times New Roman" w:hAnsi="Times New Roman" w:cs="Times New Roman"/>
          <w:spacing w:val="-4"/>
          <w:sz w:val="22"/>
          <w:szCs w:val="22"/>
        </w:rPr>
        <w:t>AMEND</w:t>
      </w:r>
      <w:r w:rsidR="0082479C" w:rsidRPr="009146D0">
        <w:rPr>
          <w:rFonts w:ascii="Times New Roman" w:hAnsi="Times New Roman" w:cs="Times New Roman"/>
          <w:spacing w:val="-4"/>
          <w:sz w:val="22"/>
          <w:szCs w:val="22"/>
        </w:rPr>
        <w:t>ED</w:t>
      </w:r>
      <w:r w:rsidRPr="009146D0">
        <w:rPr>
          <w:rFonts w:ascii="Times New Roman" w:hAnsi="Times New Roman" w:cs="Times New Roman"/>
          <w:spacing w:val="-4"/>
          <w:sz w:val="22"/>
          <w:szCs w:val="22"/>
        </w:rPr>
        <w:t xml:space="preserve"> AND SUPPLEMENT</w:t>
      </w:r>
      <w:r w:rsidR="0082479C" w:rsidRPr="009146D0">
        <w:rPr>
          <w:rFonts w:ascii="Times New Roman" w:hAnsi="Times New Roman" w:cs="Times New Roman"/>
          <w:spacing w:val="-4"/>
          <w:sz w:val="22"/>
          <w:szCs w:val="22"/>
        </w:rPr>
        <w:t>ED</w:t>
      </w:r>
      <w:r w:rsidRPr="009146D0">
        <w:rPr>
          <w:rFonts w:ascii="Times New Roman" w:hAnsi="Times New Roman" w:cs="Times New Roman"/>
          <w:spacing w:val="-4"/>
          <w:sz w:val="22"/>
          <w:szCs w:val="22"/>
        </w:rPr>
        <w:t xml:space="preserve"> IN 2019</w:t>
      </w:r>
      <w:r w:rsidR="008D777F" w:rsidRPr="009146D0">
        <w:rPr>
          <w:rFonts w:ascii="Times New Roman" w:hAnsi="Times New Roman" w:cs="Times New Roman"/>
          <w:spacing w:val="-4"/>
          <w:sz w:val="22"/>
          <w:szCs w:val="22"/>
        </w:rPr>
        <w:t>)</w:t>
      </w:r>
    </w:p>
    <w:p w:rsidR="00502D89" w:rsidRPr="009146D0" w:rsidRDefault="00E83E0B" w:rsidP="004B43CD">
      <w:pPr>
        <w:widowControl w:val="0"/>
        <w:spacing w:before="60" w:line="259" w:lineRule="auto"/>
        <w:ind w:firstLine="369"/>
        <w:jc w:val="both"/>
        <w:rPr>
          <w:rFonts w:ascii="Times New Roman" w:hAnsi="Times New Roman" w:cs="Times New Roman"/>
          <w:i/>
          <w:sz w:val="22"/>
          <w:szCs w:val="22"/>
        </w:rPr>
      </w:pPr>
      <w:r w:rsidRPr="009146D0">
        <w:rPr>
          <w:rFonts w:ascii="Times New Roman" w:hAnsi="Times New Roman" w:cs="Times New Roman"/>
          <w:b/>
          <w:i/>
          <w:sz w:val="22"/>
          <w:szCs w:val="22"/>
        </w:rPr>
        <w:t>Abstract</w:t>
      </w:r>
      <w:r w:rsidRPr="009146D0">
        <w:rPr>
          <w:rFonts w:ascii="Times New Roman" w:hAnsi="Times New Roman" w:cs="Times New Roman"/>
          <w:i/>
          <w:sz w:val="22"/>
          <w:szCs w:val="22"/>
        </w:rPr>
        <w:t xml:space="preserve">: </w:t>
      </w:r>
      <w:r w:rsidR="000B0037" w:rsidRPr="009146D0">
        <w:rPr>
          <w:rFonts w:ascii="Times New Roman" w:hAnsi="Times New Roman" w:cs="Times New Roman"/>
          <w:i/>
          <w:sz w:val="22"/>
          <w:szCs w:val="22"/>
        </w:rPr>
        <w:t xml:space="preserve">The Law on Administrative Procedures 2015 (amended and supplemented in 2019) stipulates changes, supplements and withdrawal of appeals in Article 218 and a number of other relevant provisions. However, these </w:t>
      </w:r>
      <w:r w:rsidR="00757431" w:rsidRPr="009146D0">
        <w:rPr>
          <w:rFonts w:ascii="Times New Roman" w:hAnsi="Times New Roman" w:cs="Times New Roman"/>
          <w:i/>
          <w:sz w:val="22"/>
          <w:szCs w:val="22"/>
        </w:rPr>
        <w:t>provis</w:t>
      </w:r>
      <w:r w:rsidR="000B0037" w:rsidRPr="009146D0">
        <w:rPr>
          <w:rFonts w:ascii="Times New Roman" w:hAnsi="Times New Roman" w:cs="Times New Roman"/>
          <w:i/>
          <w:sz w:val="22"/>
          <w:szCs w:val="22"/>
        </w:rPr>
        <w:t xml:space="preserve">ions are still </w:t>
      </w:r>
      <w:r w:rsidR="00DE5625" w:rsidRPr="009146D0">
        <w:rPr>
          <w:rFonts w:ascii="Times New Roman" w:hAnsi="Times New Roman" w:cs="Times New Roman"/>
          <w:i/>
          <w:sz w:val="22"/>
          <w:szCs w:val="22"/>
        </w:rPr>
        <w:t xml:space="preserve">insufficient </w:t>
      </w:r>
      <w:r w:rsidR="000B0037" w:rsidRPr="009146D0">
        <w:rPr>
          <w:rFonts w:ascii="Times New Roman" w:hAnsi="Times New Roman" w:cs="Times New Roman"/>
          <w:i/>
          <w:sz w:val="22"/>
          <w:szCs w:val="22"/>
        </w:rPr>
        <w:t xml:space="preserve">and inadequate, making it difficult </w:t>
      </w:r>
      <w:r w:rsidR="000B0037" w:rsidRPr="009146D0">
        <w:rPr>
          <w:rFonts w:ascii="Times New Roman Italic" w:hAnsi="Times New Roman Italic" w:cs="Times New Roman"/>
          <w:i/>
          <w:spacing w:val="-2"/>
          <w:sz w:val="22"/>
          <w:szCs w:val="22"/>
        </w:rPr>
        <w:t xml:space="preserve">to understand and uniformly apply the law. From the analysis of </w:t>
      </w:r>
      <w:r w:rsidR="00DE5625" w:rsidRPr="009146D0">
        <w:rPr>
          <w:rFonts w:ascii="Times New Roman Italic" w:hAnsi="Times New Roman Italic" w:cs="Times New Roman"/>
          <w:i/>
          <w:spacing w:val="-2"/>
          <w:sz w:val="22"/>
          <w:szCs w:val="22"/>
        </w:rPr>
        <w:t xml:space="preserve">provisions </w:t>
      </w:r>
      <w:r w:rsidR="000B0037" w:rsidRPr="009146D0">
        <w:rPr>
          <w:rFonts w:ascii="Times New Roman Italic" w:hAnsi="Times New Roman Italic" w:cs="Times New Roman"/>
          <w:i/>
          <w:spacing w:val="-2"/>
          <w:sz w:val="22"/>
          <w:szCs w:val="22"/>
        </w:rPr>
        <w:t>on changing, supplementing</w:t>
      </w:r>
      <w:r w:rsidR="000B0037" w:rsidRPr="009146D0">
        <w:rPr>
          <w:rFonts w:ascii="Times New Roman" w:hAnsi="Times New Roman" w:cs="Times New Roman"/>
          <w:i/>
          <w:sz w:val="22"/>
          <w:szCs w:val="22"/>
        </w:rPr>
        <w:t xml:space="preserve"> and withdrawing appeals of appellants, the article focuses on explaining and clearly demonstrating limitations such as: The Law on Administrative Procedures does not clearly define wh</w:t>
      </w:r>
      <w:r w:rsidR="00DE5625" w:rsidRPr="009146D0">
        <w:rPr>
          <w:rFonts w:ascii="Times New Roman" w:hAnsi="Times New Roman" w:cs="Times New Roman"/>
          <w:i/>
          <w:sz w:val="22"/>
          <w:szCs w:val="22"/>
        </w:rPr>
        <w:t>ich</w:t>
      </w:r>
      <w:r w:rsidR="000B0037" w:rsidRPr="009146D0">
        <w:rPr>
          <w:rFonts w:ascii="Times New Roman" w:hAnsi="Times New Roman" w:cs="Times New Roman"/>
          <w:i/>
          <w:sz w:val="22"/>
          <w:szCs w:val="22"/>
        </w:rPr>
        <w:t xml:space="preserve"> changes a</w:t>
      </w:r>
      <w:r w:rsidR="00DE5625" w:rsidRPr="009146D0">
        <w:rPr>
          <w:rFonts w:ascii="Times New Roman" w:hAnsi="Times New Roman" w:cs="Times New Roman"/>
          <w:i/>
          <w:sz w:val="22"/>
          <w:szCs w:val="22"/>
        </w:rPr>
        <w:t>nd</w:t>
      </w:r>
      <w:r w:rsidR="000B0037" w:rsidRPr="009146D0">
        <w:rPr>
          <w:rFonts w:ascii="Times New Roman" w:hAnsi="Times New Roman" w:cs="Times New Roman"/>
          <w:i/>
          <w:sz w:val="22"/>
          <w:szCs w:val="22"/>
        </w:rPr>
        <w:t xml:space="preserve"> supplement</w:t>
      </w:r>
      <w:r w:rsidR="00DE5625" w:rsidRPr="009146D0">
        <w:rPr>
          <w:rFonts w:ascii="Times New Roman" w:hAnsi="Times New Roman" w:cs="Times New Roman"/>
          <w:i/>
          <w:sz w:val="22"/>
          <w:szCs w:val="22"/>
        </w:rPr>
        <w:t>s of</w:t>
      </w:r>
      <w:r w:rsidR="000B0037" w:rsidRPr="009146D0">
        <w:rPr>
          <w:rFonts w:ascii="Times New Roman" w:hAnsi="Times New Roman" w:cs="Times New Roman"/>
          <w:i/>
          <w:sz w:val="22"/>
          <w:szCs w:val="22"/>
        </w:rPr>
        <w:t xml:space="preserve"> appeal that does not exceed the scope of the initial appeal, the provisions on the authority to suspend the appellate trial when the appellant withdraws the appeal</w:t>
      </w:r>
      <w:r w:rsidR="00DE5625" w:rsidRPr="009146D0">
        <w:rPr>
          <w:rFonts w:ascii="Times New Roman" w:hAnsi="Times New Roman" w:cs="Times New Roman"/>
          <w:i/>
          <w:sz w:val="22"/>
          <w:szCs w:val="22"/>
        </w:rPr>
        <w:t xml:space="preserve"> are still overlapped</w:t>
      </w:r>
      <w:r w:rsidR="000B0037" w:rsidRPr="009146D0">
        <w:rPr>
          <w:rFonts w:ascii="Times New Roman" w:hAnsi="Times New Roman" w:cs="Times New Roman"/>
          <w:i/>
          <w:sz w:val="22"/>
          <w:szCs w:val="22"/>
        </w:rPr>
        <w:t>, etc., and propose</w:t>
      </w:r>
      <w:r w:rsidR="00DE5625" w:rsidRPr="009146D0">
        <w:rPr>
          <w:rFonts w:ascii="Times New Roman" w:hAnsi="Times New Roman" w:cs="Times New Roman"/>
          <w:i/>
          <w:sz w:val="22"/>
          <w:szCs w:val="22"/>
        </w:rPr>
        <w:t>s</w:t>
      </w:r>
      <w:r w:rsidR="000B0037" w:rsidRPr="009146D0">
        <w:rPr>
          <w:rFonts w:ascii="Times New Roman" w:hAnsi="Times New Roman" w:cs="Times New Roman"/>
          <w:i/>
          <w:sz w:val="22"/>
          <w:szCs w:val="22"/>
        </w:rPr>
        <w:t xml:space="preserve"> solutions and recommendations to improve the </w:t>
      </w:r>
      <w:r w:rsidR="00DE5625" w:rsidRPr="009146D0">
        <w:rPr>
          <w:rFonts w:ascii="Times New Roman" w:hAnsi="Times New Roman" w:cs="Times New Roman"/>
          <w:i/>
          <w:sz w:val="22"/>
          <w:szCs w:val="22"/>
        </w:rPr>
        <w:t xml:space="preserve">above </w:t>
      </w:r>
      <w:r w:rsidR="000B0037" w:rsidRPr="009146D0">
        <w:rPr>
          <w:rFonts w:ascii="Times New Roman" w:hAnsi="Times New Roman" w:cs="Times New Roman"/>
          <w:i/>
          <w:sz w:val="22"/>
          <w:szCs w:val="22"/>
        </w:rPr>
        <w:t>limitations.</w:t>
      </w:r>
    </w:p>
    <w:p w:rsidR="00E61613" w:rsidRPr="009146D0" w:rsidRDefault="00502D89" w:rsidP="004B43CD">
      <w:pPr>
        <w:widowControl w:val="0"/>
        <w:spacing w:before="60" w:line="259" w:lineRule="auto"/>
        <w:ind w:firstLine="369"/>
        <w:jc w:val="both"/>
        <w:rPr>
          <w:rFonts w:ascii="Times New Roman" w:hAnsi="Times New Roman" w:cs="Times New Roman"/>
          <w:i/>
          <w:sz w:val="22"/>
          <w:szCs w:val="22"/>
        </w:rPr>
      </w:pPr>
      <w:r w:rsidRPr="009146D0">
        <w:rPr>
          <w:rFonts w:ascii="Times New Roman" w:hAnsi="Times New Roman" w:cs="Times New Roman"/>
          <w:i/>
          <w:sz w:val="22"/>
          <w:szCs w:val="22"/>
          <w:u w:val="single"/>
        </w:rPr>
        <w:t>Keywords</w:t>
      </w:r>
      <w:r w:rsidRPr="009146D0">
        <w:rPr>
          <w:rFonts w:ascii="Times New Roman" w:hAnsi="Times New Roman" w:cs="Times New Roman"/>
          <w:i/>
          <w:sz w:val="22"/>
          <w:szCs w:val="22"/>
        </w:rPr>
        <w:t xml:space="preserve">: </w:t>
      </w:r>
      <w:r w:rsidR="009B40AF" w:rsidRPr="009146D0">
        <w:rPr>
          <w:rFonts w:ascii="Times New Roman" w:hAnsi="Times New Roman" w:cs="Times New Roman"/>
          <w:i/>
          <w:sz w:val="22"/>
          <w:szCs w:val="22"/>
        </w:rPr>
        <w:t>Appeal, appellant, appellate, administrative proceedings</w:t>
      </w:r>
      <w:r w:rsidR="009B40AF" w:rsidRPr="009146D0" w:rsidDel="009B40AF">
        <w:rPr>
          <w:rFonts w:ascii="Times New Roman" w:hAnsi="Times New Roman" w:cs="Times New Roman"/>
          <w:i/>
          <w:sz w:val="22"/>
          <w:szCs w:val="22"/>
        </w:rPr>
        <w:t xml:space="preserve"> </w:t>
      </w:r>
    </w:p>
    <w:p w:rsidR="009424F0" w:rsidRPr="009146D0" w:rsidRDefault="00CC0CD6" w:rsidP="004B43CD">
      <w:pPr>
        <w:widowControl w:val="0"/>
        <w:spacing w:before="60" w:line="259" w:lineRule="auto"/>
        <w:ind w:firstLine="369"/>
        <w:jc w:val="both"/>
        <w:rPr>
          <w:rFonts w:ascii="Times New Roman" w:hAnsi="Times New Roman" w:cs="Times New Roman"/>
          <w:i/>
          <w:spacing w:val="-4"/>
          <w:sz w:val="22"/>
          <w:szCs w:val="22"/>
        </w:rPr>
      </w:pPr>
      <w:r w:rsidRPr="009146D0">
        <w:rPr>
          <w:rFonts w:ascii="Times New Roman" w:hAnsi="Times New Roman" w:cs="Times New Roman"/>
          <w:i/>
          <w:spacing w:val="-6"/>
          <w:sz w:val="22"/>
          <w:szCs w:val="22"/>
        </w:rPr>
        <w:t>Received: Oct 12</w:t>
      </w:r>
      <w:r w:rsidRPr="009146D0">
        <w:rPr>
          <w:rFonts w:ascii="Times New Roman" w:hAnsi="Times New Roman" w:cs="Times New Roman"/>
          <w:i/>
          <w:spacing w:val="-6"/>
          <w:sz w:val="22"/>
          <w:szCs w:val="22"/>
          <w:vertAlign w:val="superscript"/>
        </w:rPr>
        <w:t>th</w:t>
      </w:r>
      <w:r w:rsidRPr="009146D0">
        <w:rPr>
          <w:rFonts w:ascii="Times New Roman" w:hAnsi="Times New Roman" w:cs="Times New Roman"/>
          <w:i/>
          <w:spacing w:val="-6"/>
          <w:sz w:val="22"/>
          <w:szCs w:val="22"/>
        </w:rPr>
        <w:t>, 2021; Editing completed</w:t>
      </w:r>
      <w:r w:rsidRPr="009146D0">
        <w:rPr>
          <w:rFonts w:ascii="Times New Roman" w:hAnsi="Times New Roman" w:cs="Times New Roman"/>
          <w:i/>
          <w:spacing w:val="-4"/>
          <w:sz w:val="22"/>
          <w:szCs w:val="22"/>
        </w:rPr>
        <w:t>: Sept 27</w:t>
      </w:r>
      <w:r w:rsidRPr="009146D0">
        <w:rPr>
          <w:rFonts w:ascii="Times New Roman" w:hAnsi="Times New Roman" w:cs="Times New Roman"/>
          <w:i/>
          <w:spacing w:val="-4"/>
          <w:sz w:val="22"/>
          <w:szCs w:val="22"/>
          <w:vertAlign w:val="superscript"/>
        </w:rPr>
        <w:t>th</w:t>
      </w:r>
      <w:r w:rsidRPr="009146D0">
        <w:rPr>
          <w:rFonts w:ascii="Times New Roman" w:hAnsi="Times New Roman" w:cs="Times New Roman"/>
          <w:i/>
          <w:spacing w:val="-4"/>
          <w:sz w:val="22"/>
          <w:szCs w:val="22"/>
        </w:rPr>
        <w:t>, 2022; Accepted for publication: Sept 27</w:t>
      </w:r>
      <w:r w:rsidRPr="009146D0">
        <w:rPr>
          <w:rFonts w:ascii="Times New Roman" w:hAnsi="Times New Roman" w:cs="Times New Roman"/>
          <w:i/>
          <w:spacing w:val="-4"/>
          <w:sz w:val="22"/>
          <w:szCs w:val="22"/>
          <w:vertAlign w:val="superscript"/>
        </w:rPr>
        <w:t>th</w:t>
      </w:r>
      <w:r w:rsidRPr="009146D0">
        <w:rPr>
          <w:rFonts w:ascii="Times New Roman" w:hAnsi="Times New Roman" w:cs="Times New Roman"/>
          <w:i/>
          <w:spacing w:val="-4"/>
          <w:sz w:val="22"/>
          <w:szCs w:val="22"/>
        </w:rPr>
        <w:t>, 2022</w:t>
      </w:r>
    </w:p>
    <w:p w:rsidR="00CC0CD6" w:rsidRPr="009146D0" w:rsidRDefault="00CC0CD6" w:rsidP="00CC0CD6">
      <w:pPr>
        <w:widowControl w:val="0"/>
        <w:spacing w:before="60" w:line="264" w:lineRule="auto"/>
        <w:ind w:firstLine="369"/>
        <w:jc w:val="both"/>
        <w:rPr>
          <w:rFonts w:ascii="Times New Roman" w:hAnsi="Times New Roman" w:cs="Times New Roman"/>
          <w:i/>
          <w:spacing w:val="-4"/>
          <w:sz w:val="22"/>
          <w:szCs w:val="22"/>
        </w:rPr>
      </w:pPr>
    </w:p>
    <w:p w:rsidR="00CC0CD6" w:rsidRPr="009146D0" w:rsidRDefault="00CC0CD6" w:rsidP="00CC0CD6">
      <w:pPr>
        <w:widowControl w:val="0"/>
        <w:spacing w:before="60" w:line="264" w:lineRule="auto"/>
        <w:ind w:firstLine="369"/>
        <w:jc w:val="both"/>
        <w:rPr>
          <w:rFonts w:ascii="Times New Roman" w:hAnsi="Times New Roman" w:cs="Times New Roman"/>
          <w:sz w:val="22"/>
          <w:szCs w:val="22"/>
        </w:rPr>
        <w:sectPr w:rsidR="00CC0CD6" w:rsidRPr="009146D0" w:rsidSect="00912545">
          <w:headerReference w:type="even" r:id="rId9"/>
          <w:headerReference w:type="default" r:id="rId10"/>
          <w:footerReference w:type="even" r:id="rId11"/>
          <w:footerReference w:type="default" r:id="rId12"/>
          <w:footerReference w:type="first" r:id="rId13"/>
          <w:pgSz w:w="10773" w:h="15309" w:code="9"/>
          <w:pgMar w:top="1474" w:right="851" w:bottom="1474" w:left="851" w:header="907" w:footer="907" w:gutter="0"/>
          <w:pgNumType w:start="27"/>
          <w:cols w:space="369"/>
          <w:docGrid w:linePitch="360"/>
        </w:sectPr>
      </w:pPr>
    </w:p>
    <w:p w:rsidR="00CC0CD6" w:rsidRPr="009146D0" w:rsidRDefault="00CC0CD6" w:rsidP="004B43CD">
      <w:pPr>
        <w:keepNext/>
        <w:framePr w:dropCap="drop" w:lines="2" w:wrap="around" w:vAnchor="text" w:hAnchor="text"/>
        <w:spacing w:line="618" w:lineRule="exact"/>
        <w:jc w:val="both"/>
        <w:textAlignment w:val="baseline"/>
        <w:rPr>
          <w:rFonts w:ascii="Times New Roman" w:hAnsi="Times New Roman" w:cs="Times New Roman"/>
          <w:i/>
          <w:noProof/>
          <w:position w:val="-4"/>
          <w:sz w:val="73"/>
          <w:u w:val="single"/>
        </w:rPr>
      </w:pPr>
      <w:r w:rsidRPr="009146D0">
        <w:rPr>
          <w:rFonts w:ascii="Times New Roman" w:hAnsi="Times New Roman" w:cs="Times New Roman"/>
          <w:position w:val="-4"/>
          <w:sz w:val="73"/>
        </w:rPr>
        <w:t>T</w:t>
      </w:r>
    </w:p>
    <w:p w:rsidR="00BF1108" w:rsidRPr="009146D0" w:rsidRDefault="00995FC0" w:rsidP="004B43CD">
      <w:pPr>
        <w:widowControl w:val="0"/>
        <w:spacing w:line="269" w:lineRule="auto"/>
        <w:jc w:val="both"/>
        <w:rPr>
          <w:rFonts w:ascii="Times New Roman" w:hAnsi="Times New Roman" w:cs="Times New Roman"/>
        </w:rPr>
      </w:pPr>
      <w:r w:rsidRPr="009146D0">
        <w:rPr>
          <w:rFonts w:cs="Times New Roman"/>
          <w:i/>
          <w:noProof/>
          <w:sz w:val="22"/>
          <w:u w:val="single"/>
        </w:rPr>
        <mc:AlternateContent>
          <mc:Choice Requires="wpg">
            <w:drawing>
              <wp:anchor distT="0" distB="0" distL="114300" distR="114300" simplePos="0" relativeHeight="251660288" behindDoc="0" locked="0" layoutInCell="1" allowOverlap="1" wp14:anchorId="7C5D8802" wp14:editId="2B37B12F">
                <wp:simplePos x="0" y="0"/>
                <wp:positionH relativeFrom="column">
                  <wp:posOffset>-380365</wp:posOffset>
                </wp:positionH>
                <wp:positionV relativeFrom="paragraph">
                  <wp:posOffset>1502410</wp:posOffset>
                </wp:positionV>
                <wp:extent cx="2898140" cy="495300"/>
                <wp:effectExtent l="0" t="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495300"/>
                          <a:chOff x="1252" y="12550"/>
                          <a:chExt cx="4564" cy="501"/>
                        </a:xfrm>
                      </wpg:grpSpPr>
                      <wps:wsp>
                        <wps:cNvPr id="4" name="Text Box 3"/>
                        <wps:cNvSpPr txBox="1">
                          <a:spLocks noChangeArrowheads="1"/>
                        </wps:cNvSpPr>
                        <wps:spPr bwMode="auto">
                          <a:xfrm>
                            <a:off x="1252" y="12550"/>
                            <a:ext cx="4564"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D6" w:rsidRPr="00E35C4B" w:rsidRDefault="00CC0CD6" w:rsidP="00CC0CD6">
                              <w:pPr>
                                <w:widowControl w:val="0"/>
                                <w:tabs>
                                  <w:tab w:val="left" w:pos="170"/>
                                </w:tabs>
                                <w:spacing w:before="160" w:line="264" w:lineRule="auto"/>
                                <w:ind w:left="198" w:right="-57" w:hanging="198"/>
                                <w:jc w:val="both"/>
                                <w:rPr>
                                  <w:rFonts w:ascii="Times New Roman Bold" w:hAnsi="Times New Roman Bold" w:hint="eastAsia"/>
                                  <w:b/>
                                  <w:sz w:val="20"/>
                                  <w:szCs w:val="20"/>
                                </w:rPr>
                              </w:pPr>
                              <w:r w:rsidRPr="00E35C4B">
                                <w:rPr>
                                  <w:rFonts w:ascii="Times New Roman Bold" w:hAnsi="Times New Roman Bold"/>
                                  <w:b/>
                                  <w:sz w:val="20"/>
                                  <w:szCs w:val="20"/>
                                </w:rPr>
                                <w:t xml:space="preserve">* </w:t>
                              </w:r>
                              <w:r w:rsidRPr="00E35C4B">
                                <w:rPr>
                                  <w:rFonts w:ascii="Times New Roman Bold" w:hAnsi="Times New Roman Bold"/>
                                  <w:b/>
                                  <w:spacing w:val="-4"/>
                                  <w:sz w:val="20"/>
                                  <w:szCs w:val="20"/>
                                </w:rPr>
                                <w:tab/>
                              </w:r>
                              <w:r w:rsidRPr="00CC0CD6">
                                <w:rPr>
                                  <w:rFonts w:ascii="Times New Roman Bold" w:hAnsi="Times New Roman Bold"/>
                                  <w:b/>
                                  <w:spacing w:val="-12"/>
                                  <w:sz w:val="20"/>
                                  <w:szCs w:val="20"/>
                                </w:rPr>
                                <w:t>Thạc sĩ, Trường Đại học Luật Thành phố Hồ Chí Minh</w:t>
                              </w:r>
                            </w:p>
                            <w:p w:rsidR="00CC0CD6" w:rsidRPr="00E35C4B" w:rsidRDefault="00CC0CD6" w:rsidP="00CC0CD6">
                              <w:pPr>
                                <w:widowControl w:val="0"/>
                                <w:tabs>
                                  <w:tab w:val="left" w:pos="170"/>
                                </w:tabs>
                                <w:spacing w:line="264" w:lineRule="auto"/>
                                <w:ind w:right="-57" w:firstLine="198"/>
                                <w:jc w:val="both"/>
                                <w:rPr>
                                  <w:rFonts w:ascii="Times New Roman Bold" w:hAnsi="Times New Roman Bold" w:hint="eastAsia"/>
                                  <w:b/>
                                  <w:sz w:val="20"/>
                                  <w:szCs w:val="20"/>
                                </w:rPr>
                              </w:pPr>
                              <w:r w:rsidRPr="00E35C4B">
                                <w:rPr>
                                  <w:rFonts w:ascii="Times New Roman Bold" w:hAnsi="Times New Roman Bold"/>
                                  <w:b/>
                                  <w:sz w:val="20"/>
                                  <w:szCs w:val="20"/>
                                  <w:lang w:val="pt-BR"/>
                                </w:rPr>
                                <w:t xml:space="preserve">E-mail: </w:t>
                              </w:r>
                              <w:r w:rsidR="00480D8C" w:rsidRPr="00480D8C">
                                <w:rPr>
                                  <w:rFonts w:ascii="Times New Roman Bold" w:hAnsi="Times New Roman Bold"/>
                                  <w:b/>
                                  <w:sz w:val="20"/>
                                  <w:szCs w:val="20"/>
                                  <w:lang w:val="pt-BR"/>
                                </w:rPr>
                                <w:t>ltmo@hcmulaw.edu.vn</w:t>
                              </w:r>
                              <w:r w:rsidR="00480D8C" w:rsidRPr="00AC60BC">
                                <w:rPr>
                                  <w:rFonts w:ascii="Times New Roman" w:hAnsi="Times New Roman" w:cs="Times New Roman"/>
                                  <w:i/>
                                </w:rPr>
                                <w:t xml:space="preserve"> </w:t>
                              </w:r>
                            </w:p>
                          </w:txbxContent>
                        </wps:txbx>
                        <wps:bodyPr rot="0" vert="horz" wrap="square" lIns="91440" tIns="36000" rIns="91440" bIns="36000" anchor="t" anchorCtr="0" upright="1">
                          <a:noAutofit/>
                        </wps:bodyPr>
                      </wps:wsp>
                      <wps:wsp>
                        <wps:cNvPr id="5" name="Line 4"/>
                        <wps:cNvCnPr>
                          <a:cxnSpLocks noChangeShapeType="1"/>
                        </wps:cNvCnPr>
                        <wps:spPr bwMode="auto">
                          <a:xfrm>
                            <a:off x="1402" y="12614"/>
                            <a:ext cx="2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9.95pt;margin-top:118.3pt;width:228.2pt;height:39pt;z-index:251660288" coordorigin="1252,12550" coordsize="456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">
                <v:shapetype id="_x0000_t202" coordsize="21600,21600" o:spt="202" path="m,l,21600r21600,l21600,xe">
                  <v:stroke joinstyle="miter"/>
                  <v:path gradientshapeok="t" o:connecttype="rect"/>
                </v:shapetype>
                <v:shape id="Text Box 3" o:spid="_x0000_s1027" type="#_x0000_t202" style="position:absolute;left:1252;top:12550;width:456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OMQA&#10;AADaAAAADwAAAGRycy9kb3ducmV2LnhtbESPQWvCQBSE74X+h+UVeim6UWzR6CoaWvTapIjHR/Y1&#10;G5p9G7Nbjf56Vyj0OMzMN8xi1dtGnKjztWMFo2ECgrh0uuZKwVfxMZiC8AFZY+OYFFzIw2r5+LDA&#10;VLszf9IpD5WIEPYpKjAhtKmUvjRk0Q9dSxy9b9dZDFF2ldQdniPcNnKcJG/SYs1xwWBLmaHyJ/+1&#10;CvTrNjMvx2KWN4es3eyvu5F8d0o9P/XrOYhAffgP/7V3WsEE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XfjjEAAAA2gAAAA8AAAAAAAAAAAAAAAAAmAIAAGRycy9k&#10;b3ducmV2LnhtbFBLBQYAAAAABAAEAPUAAACJAwAAAAA=&#10;" stroked="f">
                  <v:textbox inset=",1mm,,1mm">
                    <w:txbxContent>
                      <w:p w:rsidR="00CC0CD6" w:rsidRPr="00E35C4B" w:rsidRDefault="00CC0CD6" w:rsidP="00CC0CD6">
                        <w:pPr>
                          <w:widowControl w:val="0"/>
                          <w:tabs>
                            <w:tab w:val="left" w:pos="170"/>
                          </w:tabs>
                          <w:spacing w:before="160" w:line="264" w:lineRule="auto"/>
                          <w:ind w:left="198" w:right="-57" w:hanging="198"/>
                          <w:jc w:val="both"/>
                          <w:rPr>
                            <w:rFonts w:ascii="Times New Roman Bold" w:hAnsi="Times New Roman Bold" w:hint="eastAsia"/>
                            <w:b/>
                            <w:sz w:val="20"/>
                            <w:szCs w:val="20"/>
                          </w:rPr>
                        </w:pPr>
                        <w:r w:rsidRPr="00E35C4B">
                          <w:rPr>
                            <w:rFonts w:ascii="Times New Roman Bold" w:hAnsi="Times New Roman Bold"/>
                            <w:b/>
                            <w:sz w:val="20"/>
                            <w:szCs w:val="20"/>
                          </w:rPr>
                          <w:t xml:space="preserve">* </w:t>
                        </w:r>
                        <w:r w:rsidRPr="00E35C4B">
                          <w:rPr>
                            <w:rFonts w:ascii="Times New Roman Bold" w:hAnsi="Times New Roman Bold"/>
                            <w:b/>
                            <w:spacing w:val="-4"/>
                            <w:sz w:val="20"/>
                            <w:szCs w:val="20"/>
                          </w:rPr>
                          <w:tab/>
                        </w:r>
                        <w:r w:rsidRPr="00CC0CD6">
                          <w:rPr>
                            <w:rFonts w:ascii="Times New Roman Bold" w:hAnsi="Times New Roman Bold"/>
                            <w:b/>
                            <w:spacing w:val="-12"/>
                            <w:sz w:val="20"/>
                            <w:szCs w:val="20"/>
                          </w:rPr>
                          <w:t>Thạc sĩ, Trường Đại học Luật Thành phố Hồ Chí Minh</w:t>
                        </w:r>
                      </w:p>
                      <w:p w:rsidR="00CC0CD6" w:rsidRPr="00E35C4B" w:rsidRDefault="00CC0CD6" w:rsidP="00CC0CD6">
                        <w:pPr>
                          <w:widowControl w:val="0"/>
                          <w:tabs>
                            <w:tab w:val="left" w:pos="170"/>
                          </w:tabs>
                          <w:spacing w:line="264" w:lineRule="auto"/>
                          <w:ind w:right="-57" w:firstLine="198"/>
                          <w:jc w:val="both"/>
                          <w:rPr>
                            <w:rFonts w:ascii="Times New Roman Bold" w:hAnsi="Times New Roman Bold" w:hint="eastAsia"/>
                            <w:b/>
                            <w:sz w:val="20"/>
                            <w:szCs w:val="20"/>
                          </w:rPr>
                        </w:pPr>
                        <w:r w:rsidRPr="00E35C4B">
                          <w:rPr>
                            <w:rFonts w:ascii="Times New Roman Bold" w:hAnsi="Times New Roman Bold"/>
                            <w:b/>
                            <w:sz w:val="20"/>
                            <w:szCs w:val="20"/>
                            <w:lang w:val="pt-BR"/>
                          </w:rPr>
                          <w:t xml:space="preserve">E-mail: </w:t>
                        </w:r>
                        <w:r w:rsidR="00480D8C" w:rsidRPr="00480D8C">
                          <w:rPr>
                            <w:rFonts w:ascii="Times New Roman Bold" w:hAnsi="Times New Roman Bold"/>
                            <w:b/>
                            <w:sz w:val="20"/>
                            <w:szCs w:val="20"/>
                            <w:lang w:val="pt-BR"/>
                          </w:rPr>
                          <w:t>ltmo@hcmulaw.edu.vn</w:t>
                        </w:r>
                        <w:r w:rsidR="00480D8C" w:rsidRPr="00AC60BC">
                          <w:rPr>
                            <w:rFonts w:ascii="Times New Roman" w:hAnsi="Times New Roman" w:cs="Times New Roman"/>
                            <w:i/>
                          </w:rPr>
                          <w:t xml:space="preserve"> </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square"/>
              </v:group>
            </w:pict>
          </mc:Fallback>
        </mc:AlternateContent>
      </w:r>
      <w:r w:rsidR="00E61613" w:rsidRPr="009146D0">
        <w:rPr>
          <w:rFonts w:ascii="Times New Roman" w:hAnsi="Times New Roman" w:cs="Times New Roman"/>
        </w:rPr>
        <w:t xml:space="preserve">rong </w:t>
      </w:r>
      <w:r w:rsidR="001D288E" w:rsidRPr="009146D0">
        <w:rPr>
          <w:rFonts w:ascii="Times New Roman" w:hAnsi="Times New Roman" w:cs="Times New Roman"/>
        </w:rPr>
        <w:t>tố tụng hành chính</w:t>
      </w:r>
      <w:r w:rsidR="00896359" w:rsidRPr="009146D0">
        <w:rPr>
          <w:rFonts w:ascii="Times New Roman" w:hAnsi="Times New Roman" w:cs="Times New Roman"/>
        </w:rPr>
        <w:t xml:space="preserve"> (TTHC)</w:t>
      </w:r>
      <w:r w:rsidR="00E61613" w:rsidRPr="009146D0">
        <w:rPr>
          <w:rFonts w:ascii="Times New Roman" w:hAnsi="Times New Roman" w:cs="Times New Roman"/>
        </w:rPr>
        <w:t>, nếu không đồng tình với phán quyết trong bản án, quyết định sơ thẩm chưa có hiệu lực pháp luật</w:t>
      </w:r>
      <w:r w:rsidR="009C1BA0" w:rsidRPr="009146D0">
        <w:rPr>
          <w:rFonts w:ascii="Times New Roman" w:hAnsi="Times New Roman" w:cs="Times New Roman"/>
        </w:rPr>
        <w:t>,</w:t>
      </w:r>
      <w:r w:rsidR="00E61613" w:rsidRPr="009146D0">
        <w:rPr>
          <w:rFonts w:ascii="Times New Roman" w:hAnsi="Times New Roman" w:cs="Times New Roman"/>
        </w:rPr>
        <w:t xml:space="preserve"> đương sự</w:t>
      </w:r>
      <w:r w:rsidR="00844F9D" w:rsidRPr="009146D0">
        <w:rPr>
          <w:rFonts w:ascii="Times New Roman" w:hAnsi="Times New Roman" w:cs="Times New Roman"/>
        </w:rPr>
        <w:t>, người đại diện hợp pháp của đương sự</w:t>
      </w:r>
      <w:r w:rsidR="00E61613" w:rsidRPr="009146D0">
        <w:rPr>
          <w:rFonts w:ascii="Times New Roman" w:hAnsi="Times New Roman" w:cs="Times New Roman"/>
        </w:rPr>
        <w:t xml:space="preserve"> c</w:t>
      </w:r>
      <w:r w:rsidR="00F21176" w:rsidRPr="009146D0">
        <w:rPr>
          <w:rFonts w:ascii="Times New Roman" w:hAnsi="Times New Roman" w:cs="Times New Roman"/>
        </w:rPr>
        <w:t>ó thể</w:t>
      </w:r>
      <w:r w:rsidR="00097974" w:rsidRPr="009146D0">
        <w:rPr>
          <w:rFonts w:ascii="Times New Roman" w:hAnsi="Times New Roman" w:cs="Times New Roman"/>
        </w:rPr>
        <w:t xml:space="preserve"> </w:t>
      </w:r>
      <w:r w:rsidR="00E61613" w:rsidRPr="009146D0">
        <w:rPr>
          <w:rFonts w:ascii="Times New Roman" w:hAnsi="Times New Roman" w:cs="Times New Roman"/>
        </w:rPr>
        <w:t>khán</w:t>
      </w:r>
      <w:bookmarkStart w:id="0" w:name="_GoBack"/>
      <w:bookmarkEnd w:id="0"/>
      <w:r w:rsidR="00E61613" w:rsidRPr="009146D0">
        <w:rPr>
          <w:rFonts w:ascii="Times New Roman" w:hAnsi="Times New Roman" w:cs="Times New Roman"/>
        </w:rPr>
        <w:t>g cáo</w:t>
      </w:r>
      <w:r w:rsidR="001D288E" w:rsidRPr="009146D0">
        <w:rPr>
          <w:rFonts w:ascii="Times New Roman" w:hAnsi="Times New Roman" w:cs="Times New Roman"/>
        </w:rPr>
        <w:t xml:space="preserve"> </w:t>
      </w:r>
      <w:r w:rsidR="00E61613" w:rsidRPr="009146D0">
        <w:rPr>
          <w:rFonts w:ascii="Times New Roman" w:hAnsi="Times New Roman" w:cs="Times New Roman"/>
        </w:rPr>
        <w:t xml:space="preserve">để yêu cầu </w:t>
      </w:r>
      <w:r w:rsidR="00896359" w:rsidRPr="009146D0">
        <w:rPr>
          <w:rFonts w:ascii="Times New Roman" w:hAnsi="Times New Roman" w:cs="Times New Roman"/>
        </w:rPr>
        <w:t>toà</w:t>
      </w:r>
      <w:r w:rsidR="00E61613" w:rsidRPr="009146D0">
        <w:rPr>
          <w:rFonts w:ascii="Times New Roman" w:hAnsi="Times New Roman" w:cs="Times New Roman"/>
        </w:rPr>
        <w:t xml:space="preserve"> án </w:t>
      </w:r>
      <w:r w:rsidR="00C2237D" w:rsidRPr="009146D0">
        <w:rPr>
          <w:rFonts w:ascii="Times New Roman" w:hAnsi="Times New Roman" w:cs="Times New Roman"/>
        </w:rPr>
        <w:t xml:space="preserve">cấp trên trực tiếp </w:t>
      </w:r>
      <w:r w:rsidR="00E61613" w:rsidRPr="009146D0">
        <w:rPr>
          <w:rFonts w:ascii="Times New Roman" w:hAnsi="Times New Roman" w:cs="Times New Roman"/>
        </w:rPr>
        <w:t xml:space="preserve">xét xử lại bản án, quyết định sơ thẩm đó theo trình tự phúc </w:t>
      </w:r>
      <w:r w:rsidR="00E61613" w:rsidRPr="009146D0">
        <w:rPr>
          <w:rFonts w:ascii="Times New Roman" w:hAnsi="Times New Roman" w:cs="Times New Roman"/>
        </w:rPr>
        <w:lastRenderedPageBreak/>
        <w:t xml:space="preserve">thẩm. </w:t>
      </w:r>
      <w:r w:rsidR="00A10B61" w:rsidRPr="009146D0">
        <w:rPr>
          <w:rFonts w:ascii="Times New Roman" w:hAnsi="Times New Roman" w:cs="Times New Roman"/>
        </w:rPr>
        <w:t>Đây là một trong nhữ</w:t>
      </w:r>
      <w:r w:rsidR="00A23C0B" w:rsidRPr="009146D0">
        <w:rPr>
          <w:rFonts w:ascii="Times New Roman" w:hAnsi="Times New Roman" w:cs="Times New Roman"/>
        </w:rPr>
        <w:t>ng nội dung</w:t>
      </w:r>
      <w:r w:rsidR="00A10B61" w:rsidRPr="009146D0">
        <w:rPr>
          <w:rFonts w:ascii="Times New Roman" w:hAnsi="Times New Roman" w:cs="Times New Roman"/>
        </w:rPr>
        <w:t xml:space="preserve"> quan trọng được </w:t>
      </w:r>
      <w:r w:rsidR="00CB78A3" w:rsidRPr="009146D0">
        <w:rPr>
          <w:rFonts w:ascii="Times New Roman" w:hAnsi="Times New Roman" w:cs="Times New Roman"/>
        </w:rPr>
        <w:t>Luật</w:t>
      </w:r>
      <w:r w:rsidR="00A10B61" w:rsidRPr="009146D0">
        <w:rPr>
          <w:rFonts w:ascii="Times New Roman" w:hAnsi="Times New Roman" w:cs="Times New Roman"/>
        </w:rPr>
        <w:t xml:space="preserve"> </w:t>
      </w:r>
      <w:r w:rsidR="00896359" w:rsidRPr="009146D0">
        <w:rPr>
          <w:rFonts w:ascii="Times New Roman" w:hAnsi="Times New Roman" w:cs="Times New Roman"/>
        </w:rPr>
        <w:t>TTHC</w:t>
      </w:r>
      <w:r w:rsidR="009C584B" w:rsidRPr="009146D0">
        <w:rPr>
          <w:rFonts w:ascii="Times New Roman" w:hAnsi="Times New Roman" w:cs="Times New Roman"/>
        </w:rPr>
        <w:t xml:space="preserve"> năm 2015</w:t>
      </w:r>
      <w:r w:rsidR="001D288E" w:rsidRPr="009146D0">
        <w:rPr>
          <w:rFonts w:ascii="Times New Roman" w:hAnsi="Times New Roman" w:cs="Times New Roman"/>
        </w:rPr>
        <w:t xml:space="preserve"> </w:t>
      </w:r>
      <w:r w:rsidR="009C584B" w:rsidRPr="009146D0">
        <w:rPr>
          <w:rFonts w:ascii="Times New Roman" w:hAnsi="Times New Roman" w:cs="Times New Roman"/>
        </w:rPr>
        <w:t>(</w:t>
      </w:r>
      <w:r w:rsidR="001D288E" w:rsidRPr="009146D0">
        <w:rPr>
          <w:rFonts w:ascii="Times New Roman" w:hAnsi="Times New Roman" w:cs="Times New Roman"/>
        </w:rPr>
        <w:t>sửa đổi, bổ sung năm 2019</w:t>
      </w:r>
      <w:r w:rsidR="009C584B" w:rsidRPr="009146D0">
        <w:rPr>
          <w:rFonts w:ascii="Times New Roman" w:hAnsi="Times New Roman" w:cs="Times New Roman"/>
        </w:rPr>
        <w:t>)</w:t>
      </w:r>
      <w:r w:rsidR="001D288E" w:rsidRPr="009146D0">
        <w:rPr>
          <w:rFonts w:ascii="Times New Roman" w:hAnsi="Times New Roman" w:cs="Times New Roman"/>
        </w:rPr>
        <w:t xml:space="preserve"> (</w:t>
      </w:r>
      <w:r w:rsidR="00896359" w:rsidRPr="009146D0">
        <w:rPr>
          <w:rFonts w:ascii="Times New Roman" w:hAnsi="Times New Roman" w:cs="Times New Roman"/>
        </w:rPr>
        <w:t xml:space="preserve">sau đây </w:t>
      </w:r>
      <w:r w:rsidR="001D288E" w:rsidRPr="009146D0">
        <w:rPr>
          <w:rFonts w:ascii="Times New Roman" w:hAnsi="Times New Roman" w:cs="Times New Roman"/>
        </w:rPr>
        <w:t>gọi tắt là Luật TTHC)</w:t>
      </w:r>
      <w:r w:rsidR="00A10B61" w:rsidRPr="009146D0">
        <w:rPr>
          <w:rFonts w:ascii="Times New Roman" w:hAnsi="Times New Roman" w:cs="Times New Roman"/>
        </w:rPr>
        <w:t xml:space="preserve"> ghi nhận</w:t>
      </w:r>
      <w:r w:rsidR="00B35EED" w:rsidRPr="009146D0">
        <w:rPr>
          <w:rFonts w:ascii="Times New Roman" w:hAnsi="Times New Roman" w:cs="Times New Roman"/>
        </w:rPr>
        <w:t>,</w:t>
      </w:r>
      <w:r w:rsidR="0032222D" w:rsidRPr="009146D0">
        <w:rPr>
          <w:rFonts w:ascii="Times New Roman" w:hAnsi="Times New Roman" w:cs="Times New Roman"/>
        </w:rPr>
        <w:t xml:space="preserve"> nhằm</w:t>
      </w:r>
      <w:r w:rsidR="004E6AC3" w:rsidRPr="009146D0">
        <w:rPr>
          <w:rFonts w:ascii="Times New Roman" w:hAnsi="Times New Roman" w:cs="Times New Roman"/>
        </w:rPr>
        <w:t xml:space="preserve"> bảo đảm thực hiện nguyên tắc hai cấp xét xử</w:t>
      </w:r>
      <w:r w:rsidR="00A10B61" w:rsidRPr="009146D0">
        <w:rPr>
          <w:rFonts w:ascii="Times New Roman" w:hAnsi="Times New Roman" w:cs="Times New Roman"/>
        </w:rPr>
        <w:t>,</w:t>
      </w:r>
      <w:r w:rsidR="006504B7" w:rsidRPr="009146D0">
        <w:rPr>
          <w:rFonts w:ascii="Times New Roman" w:hAnsi="Times New Roman" w:cs="Times New Roman"/>
        </w:rPr>
        <w:t xml:space="preserve"> nguyên tắc quyền quyết định và tự định đoạt của đương sự,</w:t>
      </w:r>
      <w:r w:rsidR="00A10B61" w:rsidRPr="009146D0">
        <w:rPr>
          <w:rFonts w:ascii="Times New Roman" w:hAnsi="Times New Roman" w:cs="Times New Roman"/>
        </w:rPr>
        <w:t xml:space="preserve"> </w:t>
      </w:r>
      <w:r w:rsidR="00905E29" w:rsidRPr="009146D0">
        <w:rPr>
          <w:rFonts w:ascii="Times New Roman" w:hAnsi="Times New Roman" w:cs="Times New Roman"/>
        </w:rPr>
        <w:t>tạ</w:t>
      </w:r>
      <w:r w:rsidR="006504B7" w:rsidRPr="009146D0">
        <w:rPr>
          <w:rFonts w:ascii="Times New Roman" w:hAnsi="Times New Roman" w:cs="Times New Roman"/>
        </w:rPr>
        <w:t>o điều kiện</w:t>
      </w:r>
      <w:r w:rsidR="00905E29" w:rsidRPr="009146D0">
        <w:rPr>
          <w:rFonts w:ascii="Times New Roman" w:hAnsi="Times New Roman" w:cs="Times New Roman"/>
        </w:rPr>
        <w:t xml:space="preserve"> để </w:t>
      </w:r>
      <w:r w:rsidR="004E6AC3" w:rsidRPr="009146D0">
        <w:rPr>
          <w:rFonts w:ascii="Times New Roman" w:hAnsi="Times New Roman" w:cs="Times New Roman"/>
        </w:rPr>
        <w:t>các</w:t>
      </w:r>
      <w:r w:rsidR="00B86D21" w:rsidRPr="009146D0">
        <w:rPr>
          <w:rFonts w:ascii="Times New Roman" w:hAnsi="Times New Roman" w:cs="Times New Roman"/>
        </w:rPr>
        <w:t xml:space="preserve"> phán quyết của </w:t>
      </w:r>
      <w:r w:rsidR="00192298" w:rsidRPr="009146D0">
        <w:rPr>
          <w:rFonts w:ascii="Times New Roman" w:hAnsi="Times New Roman" w:cs="Times New Roman"/>
        </w:rPr>
        <w:t>toà</w:t>
      </w:r>
      <w:r w:rsidR="00B86D21" w:rsidRPr="009146D0">
        <w:rPr>
          <w:rFonts w:ascii="Times New Roman" w:hAnsi="Times New Roman" w:cs="Times New Roman"/>
        </w:rPr>
        <w:t xml:space="preserve"> án cấp sơ thẩm </w:t>
      </w:r>
      <w:r w:rsidR="004E6AC3" w:rsidRPr="009146D0">
        <w:rPr>
          <w:rFonts w:ascii="Times New Roman" w:hAnsi="Times New Roman" w:cs="Times New Roman"/>
        </w:rPr>
        <w:t xml:space="preserve">luôn </w:t>
      </w:r>
      <w:r w:rsidR="00B86D21" w:rsidRPr="009146D0">
        <w:rPr>
          <w:rFonts w:ascii="Times New Roman" w:hAnsi="Times New Roman" w:cs="Times New Roman"/>
        </w:rPr>
        <w:t>được đúng đắ</w:t>
      </w:r>
      <w:r w:rsidR="00766EB4" w:rsidRPr="009146D0">
        <w:rPr>
          <w:rFonts w:ascii="Times New Roman" w:hAnsi="Times New Roman" w:cs="Times New Roman"/>
        </w:rPr>
        <w:t>n,</w:t>
      </w:r>
      <w:r w:rsidR="00B86D21" w:rsidRPr="009146D0">
        <w:rPr>
          <w:rFonts w:ascii="Times New Roman" w:hAnsi="Times New Roman" w:cs="Times New Roman"/>
        </w:rPr>
        <w:t xml:space="preserve"> công bằng</w:t>
      </w:r>
      <w:r w:rsidR="00766EB4" w:rsidRPr="009146D0">
        <w:rPr>
          <w:rFonts w:ascii="Times New Roman" w:hAnsi="Times New Roman" w:cs="Times New Roman"/>
        </w:rPr>
        <w:t xml:space="preserve"> và</w:t>
      </w:r>
      <w:r w:rsidR="00BF1108" w:rsidRPr="009146D0">
        <w:rPr>
          <w:rFonts w:ascii="Times New Roman" w:hAnsi="Times New Roman" w:cs="Times New Roman"/>
        </w:rPr>
        <w:t xml:space="preserve"> minh bạch</w:t>
      </w:r>
      <w:r w:rsidR="00B86D21" w:rsidRPr="009146D0">
        <w:rPr>
          <w:rFonts w:ascii="Times New Roman" w:hAnsi="Times New Roman" w:cs="Times New Roman"/>
        </w:rPr>
        <w:t>. T</w:t>
      </w:r>
      <w:r w:rsidR="00E940C6" w:rsidRPr="009146D0">
        <w:rPr>
          <w:rFonts w:ascii="Times New Roman" w:hAnsi="Times New Roman" w:cs="Times New Roman"/>
        </w:rPr>
        <w:t xml:space="preserve">uy nhiên, </w:t>
      </w:r>
      <w:r w:rsidR="00BF1108" w:rsidRPr="009146D0">
        <w:rPr>
          <w:rFonts w:ascii="Times New Roman" w:hAnsi="Times New Roman" w:cs="Times New Roman"/>
        </w:rPr>
        <w:t>vì việ</w:t>
      </w:r>
      <w:r w:rsidR="00493C75" w:rsidRPr="009146D0">
        <w:rPr>
          <w:rFonts w:ascii="Times New Roman" w:hAnsi="Times New Roman" w:cs="Times New Roman"/>
        </w:rPr>
        <w:t xml:space="preserve">c kháng cáo </w:t>
      </w:r>
      <w:r w:rsidR="00BF1108" w:rsidRPr="009146D0">
        <w:rPr>
          <w:rFonts w:ascii="Times New Roman" w:hAnsi="Times New Roman" w:cs="Times New Roman"/>
        </w:rPr>
        <w:t>có thể xuất phát từ những nhận định chủ quan</w:t>
      </w:r>
      <w:r w:rsidR="006A39DF" w:rsidRPr="009146D0">
        <w:rPr>
          <w:rFonts w:ascii="Times New Roman" w:hAnsi="Times New Roman" w:cs="Times New Roman"/>
        </w:rPr>
        <w:t xml:space="preserve">, </w:t>
      </w:r>
      <w:r w:rsidR="006A39DF" w:rsidRPr="009146D0">
        <w:rPr>
          <w:rFonts w:ascii="Times New Roman" w:hAnsi="Times New Roman" w:cs="Times New Roman"/>
        </w:rPr>
        <w:lastRenderedPageBreak/>
        <w:t>thiếu toàn diện</w:t>
      </w:r>
      <w:r w:rsidR="00BF1108" w:rsidRPr="009146D0">
        <w:rPr>
          <w:rFonts w:ascii="Times New Roman" w:hAnsi="Times New Roman" w:cs="Times New Roman"/>
        </w:rPr>
        <w:t xml:space="preserve"> về mức độ chính xác của bả</w:t>
      </w:r>
      <w:r w:rsidR="00B654DF" w:rsidRPr="009146D0">
        <w:rPr>
          <w:rFonts w:ascii="Times New Roman" w:hAnsi="Times New Roman" w:cs="Times New Roman"/>
        </w:rPr>
        <w:t>n</w:t>
      </w:r>
      <w:r w:rsidR="00BF1108" w:rsidRPr="009146D0">
        <w:rPr>
          <w:rFonts w:ascii="Times New Roman" w:hAnsi="Times New Roman" w:cs="Times New Roman"/>
        </w:rPr>
        <w:t xml:space="preserve"> án, quyết định sơ thẩm nên nộ</w:t>
      </w:r>
      <w:r w:rsidR="002364D4" w:rsidRPr="009146D0">
        <w:rPr>
          <w:rFonts w:ascii="Times New Roman" w:hAnsi="Times New Roman" w:cs="Times New Roman"/>
        </w:rPr>
        <w:t>i dung</w:t>
      </w:r>
      <w:r w:rsidR="004E6AC3" w:rsidRPr="009146D0">
        <w:rPr>
          <w:rFonts w:ascii="Times New Roman" w:hAnsi="Times New Roman" w:cs="Times New Roman"/>
        </w:rPr>
        <w:t xml:space="preserve"> của</w:t>
      </w:r>
      <w:r w:rsidR="00F35027" w:rsidRPr="009146D0">
        <w:rPr>
          <w:rFonts w:ascii="Times New Roman" w:hAnsi="Times New Roman" w:cs="Times New Roman"/>
        </w:rPr>
        <w:t xml:space="preserve"> yêu cầu</w:t>
      </w:r>
      <w:r w:rsidR="00BF1108" w:rsidRPr="009146D0">
        <w:rPr>
          <w:rFonts w:ascii="Times New Roman" w:hAnsi="Times New Roman" w:cs="Times New Roman"/>
        </w:rPr>
        <w:t xml:space="preserve"> kháng cáo có thể đúng hoặc sai, có thể phù hợp với quy định của pháp luật hoặc không, có thể đầy đủ hoặc thiếu sót. </w:t>
      </w:r>
      <w:r w:rsidR="004E6AC3" w:rsidRPr="009146D0">
        <w:rPr>
          <w:rFonts w:ascii="Times New Roman" w:hAnsi="Times New Roman" w:cs="Times New Roman"/>
        </w:rPr>
        <w:t xml:space="preserve">Do vậy, </w:t>
      </w:r>
      <w:r w:rsidR="00A23C0B" w:rsidRPr="009146D0">
        <w:rPr>
          <w:rFonts w:ascii="Times New Roman" w:hAnsi="Times New Roman" w:cs="Times New Roman"/>
        </w:rPr>
        <w:t>bên cạnh việc</w:t>
      </w:r>
      <w:r w:rsidR="00C61538" w:rsidRPr="009146D0">
        <w:rPr>
          <w:rFonts w:ascii="Times New Roman" w:hAnsi="Times New Roman" w:cs="Times New Roman"/>
        </w:rPr>
        <w:t xml:space="preserve"> </w:t>
      </w:r>
      <w:r w:rsidR="00A23C0B" w:rsidRPr="009146D0">
        <w:rPr>
          <w:rFonts w:ascii="Times New Roman" w:hAnsi="Times New Roman" w:cs="Times New Roman"/>
        </w:rPr>
        <w:t>kháng cáo</w:t>
      </w:r>
      <w:r w:rsidR="001D288E" w:rsidRPr="009146D0">
        <w:rPr>
          <w:rFonts w:ascii="Times New Roman" w:hAnsi="Times New Roman" w:cs="Times New Roman"/>
        </w:rPr>
        <w:t xml:space="preserve">, </w:t>
      </w:r>
      <w:r w:rsidR="007754D0" w:rsidRPr="009146D0">
        <w:rPr>
          <w:rFonts w:ascii="Times New Roman" w:hAnsi="Times New Roman" w:cs="Times New Roman"/>
        </w:rPr>
        <w:t>Luật</w:t>
      </w:r>
      <w:r w:rsidR="004E6AC3" w:rsidRPr="009146D0">
        <w:rPr>
          <w:rFonts w:ascii="Times New Roman" w:hAnsi="Times New Roman" w:cs="Times New Roman"/>
        </w:rPr>
        <w:t xml:space="preserve"> TTHC</w:t>
      </w:r>
      <w:r w:rsidR="007A5FF3" w:rsidRPr="009146D0">
        <w:rPr>
          <w:rFonts w:ascii="Times New Roman" w:hAnsi="Times New Roman" w:cs="Times New Roman"/>
        </w:rPr>
        <w:t xml:space="preserve"> </w:t>
      </w:r>
      <w:r w:rsidR="00612E28" w:rsidRPr="009146D0">
        <w:rPr>
          <w:rFonts w:ascii="Times New Roman" w:hAnsi="Times New Roman" w:cs="Times New Roman"/>
        </w:rPr>
        <w:t xml:space="preserve">còn quy định về </w:t>
      </w:r>
      <w:r w:rsidR="004E6AC3" w:rsidRPr="009146D0">
        <w:rPr>
          <w:rFonts w:ascii="Times New Roman" w:hAnsi="Times New Roman" w:cs="Times New Roman"/>
        </w:rPr>
        <w:t>thay đổi, bổ sung, rút kháng cáo</w:t>
      </w:r>
      <w:r w:rsidR="00C45926" w:rsidRPr="009146D0">
        <w:rPr>
          <w:rFonts w:ascii="Times New Roman" w:hAnsi="Times New Roman" w:cs="Times New Roman"/>
        </w:rPr>
        <w:t xml:space="preserve"> </w:t>
      </w:r>
      <w:r w:rsidR="00B654DF" w:rsidRPr="009146D0">
        <w:rPr>
          <w:rFonts w:ascii="Times New Roman" w:hAnsi="Times New Roman" w:cs="Times New Roman"/>
        </w:rPr>
        <w:t>trong giai đoạn phúc thẩm vụ</w:t>
      </w:r>
      <w:r w:rsidR="00CA20CA" w:rsidRPr="009146D0">
        <w:rPr>
          <w:rFonts w:ascii="Times New Roman" w:hAnsi="Times New Roman" w:cs="Times New Roman"/>
        </w:rPr>
        <w:t xml:space="preserve"> án hành chính</w:t>
      </w:r>
      <w:r w:rsidR="00192298" w:rsidRPr="009146D0">
        <w:rPr>
          <w:rFonts w:ascii="Times New Roman" w:hAnsi="Times New Roman" w:cs="Times New Roman"/>
        </w:rPr>
        <w:t>.</w:t>
      </w:r>
    </w:p>
    <w:p w:rsidR="007D21AB" w:rsidRPr="009146D0" w:rsidRDefault="00880939" w:rsidP="004B43CD">
      <w:pPr>
        <w:widowControl w:val="0"/>
        <w:spacing w:line="276" w:lineRule="auto"/>
        <w:ind w:firstLine="369"/>
        <w:jc w:val="both"/>
        <w:rPr>
          <w:rFonts w:ascii="Times New Roman" w:hAnsi="Times New Roman" w:cs="Times New Roman"/>
          <w:b/>
        </w:rPr>
      </w:pPr>
      <w:r w:rsidRPr="009146D0">
        <w:rPr>
          <w:rFonts w:ascii="Times New Roman Bold" w:hAnsi="Times New Roman Bold" w:cs="Times New Roman"/>
          <w:b/>
          <w:spacing w:val="-8"/>
        </w:rPr>
        <w:t>1</w:t>
      </w:r>
      <w:r w:rsidR="007D21AB" w:rsidRPr="009146D0">
        <w:rPr>
          <w:rFonts w:ascii="Times New Roman Bold" w:hAnsi="Times New Roman Bold" w:cs="Times New Roman"/>
          <w:b/>
          <w:spacing w:val="-8"/>
        </w:rPr>
        <w:t xml:space="preserve">. Quy định của Luật </w:t>
      </w:r>
      <w:r w:rsidR="00192298" w:rsidRPr="009146D0">
        <w:rPr>
          <w:rFonts w:ascii="Times New Roman Bold" w:hAnsi="Times New Roman Bold" w:cs="Times New Roman"/>
          <w:b/>
          <w:spacing w:val="-8"/>
        </w:rPr>
        <w:t>Tố tụng hành chính</w:t>
      </w:r>
      <w:r w:rsidR="007D21AB" w:rsidRPr="009146D0">
        <w:rPr>
          <w:rFonts w:ascii="Times New Roman" w:hAnsi="Times New Roman" w:cs="Times New Roman"/>
          <w:b/>
        </w:rPr>
        <w:t xml:space="preserve"> về thay đổi, bổ sung, rút kháng cá</w:t>
      </w:r>
      <w:r w:rsidR="009F5789" w:rsidRPr="009146D0">
        <w:rPr>
          <w:rFonts w:ascii="Times New Roman" w:hAnsi="Times New Roman" w:cs="Times New Roman"/>
          <w:b/>
        </w:rPr>
        <w:t>o</w:t>
      </w:r>
    </w:p>
    <w:p w:rsidR="00526C4A" w:rsidRPr="009146D0" w:rsidRDefault="00526C4A" w:rsidP="004B43CD">
      <w:pPr>
        <w:widowControl w:val="0"/>
        <w:spacing w:line="276" w:lineRule="auto"/>
        <w:ind w:firstLine="369"/>
        <w:jc w:val="both"/>
        <w:rPr>
          <w:rFonts w:ascii="Times New Roman" w:hAnsi="Times New Roman" w:cs="Times New Roman"/>
        </w:rPr>
      </w:pPr>
      <w:r w:rsidRPr="009146D0">
        <w:rPr>
          <w:rFonts w:ascii="Times New Roman" w:hAnsi="Times New Roman" w:cs="Times New Roman"/>
        </w:rPr>
        <w:t xml:space="preserve">Hiện nay, việc thay đổi, bổ sung, rút kháng cáo được quy định tại Điều 218, </w:t>
      </w:r>
      <w:r w:rsidR="00671785" w:rsidRPr="009146D0">
        <w:rPr>
          <w:rFonts w:ascii="Times New Roman" w:hAnsi="Times New Roman" w:cs="Times New Roman"/>
        </w:rPr>
        <w:t xml:space="preserve">điểm c khoản 1, khoản 2, 3 </w:t>
      </w:r>
      <w:r w:rsidRPr="009146D0">
        <w:rPr>
          <w:rFonts w:ascii="Times New Roman" w:hAnsi="Times New Roman" w:cs="Times New Roman"/>
        </w:rPr>
        <w:t>Điề</w:t>
      </w:r>
      <w:r w:rsidR="001A7150" w:rsidRPr="009146D0">
        <w:rPr>
          <w:rFonts w:ascii="Times New Roman" w:hAnsi="Times New Roman" w:cs="Times New Roman"/>
        </w:rPr>
        <w:t xml:space="preserve">u 229 </w:t>
      </w:r>
      <w:r w:rsidRPr="009146D0">
        <w:rPr>
          <w:rFonts w:ascii="Times New Roman" w:hAnsi="Times New Roman" w:cs="Times New Roman"/>
        </w:rPr>
        <w:t>Luật TTHC song tập trung nhất</w:t>
      </w:r>
      <w:r w:rsidR="008951A9" w:rsidRPr="009146D0">
        <w:rPr>
          <w:rFonts w:ascii="Times New Roman" w:hAnsi="Times New Roman" w:cs="Times New Roman"/>
        </w:rPr>
        <w:t xml:space="preserve"> vẫn</w:t>
      </w:r>
      <w:r w:rsidRPr="009146D0">
        <w:rPr>
          <w:rFonts w:ascii="Times New Roman" w:hAnsi="Times New Roman" w:cs="Times New Roman"/>
        </w:rPr>
        <w:t xml:space="preserve"> là Điề</w:t>
      </w:r>
      <w:r w:rsidR="008951A9" w:rsidRPr="009146D0">
        <w:rPr>
          <w:rFonts w:ascii="Times New Roman" w:hAnsi="Times New Roman" w:cs="Times New Roman"/>
        </w:rPr>
        <w:t>u 218</w:t>
      </w:r>
      <w:r w:rsidRPr="009146D0">
        <w:rPr>
          <w:rFonts w:ascii="Times New Roman" w:hAnsi="Times New Roman" w:cs="Times New Roman"/>
        </w:rPr>
        <w:t xml:space="preserve">. </w:t>
      </w:r>
      <w:r w:rsidR="007A1893" w:rsidRPr="009146D0">
        <w:rPr>
          <w:rFonts w:ascii="Times New Roman" w:hAnsi="Times New Roman" w:cs="Times New Roman"/>
        </w:rPr>
        <w:t>V</w:t>
      </w:r>
      <w:r w:rsidR="005C34DC" w:rsidRPr="009146D0">
        <w:rPr>
          <w:rFonts w:ascii="Times New Roman" w:hAnsi="Times New Roman" w:cs="Times New Roman"/>
        </w:rPr>
        <w:t>ì</w:t>
      </w:r>
      <w:r w:rsidR="004A1C34" w:rsidRPr="009146D0">
        <w:rPr>
          <w:rFonts w:ascii="Times New Roman" w:hAnsi="Times New Roman" w:cs="Times New Roman"/>
        </w:rPr>
        <w:t xml:space="preserve"> tính chất của việc thay đổi, bổ sung và rút kháng </w:t>
      </w:r>
      <w:r w:rsidR="004A1C34" w:rsidRPr="009146D0">
        <w:rPr>
          <w:rFonts w:ascii="Times New Roman" w:hAnsi="Times New Roman" w:cs="Times New Roman"/>
          <w:spacing w:val="-4"/>
        </w:rPr>
        <w:t xml:space="preserve">cáo có sự khác nhau </w:t>
      </w:r>
      <w:r w:rsidR="00C913B0" w:rsidRPr="009146D0">
        <w:rPr>
          <w:rFonts w:ascii="Times New Roman" w:hAnsi="Times New Roman" w:cs="Times New Roman"/>
          <w:spacing w:val="-4"/>
        </w:rPr>
        <w:t xml:space="preserve">nên </w:t>
      </w:r>
      <w:r w:rsidR="008D777F" w:rsidRPr="009146D0">
        <w:rPr>
          <w:rFonts w:ascii="Times New Roman" w:hAnsi="Times New Roman" w:cs="Times New Roman"/>
          <w:spacing w:val="-4"/>
        </w:rPr>
        <w:t>nội dung này s</w:t>
      </w:r>
      <w:r w:rsidRPr="009146D0">
        <w:rPr>
          <w:rFonts w:ascii="Times New Roman" w:hAnsi="Times New Roman" w:cs="Times New Roman"/>
          <w:spacing w:val="-4"/>
        </w:rPr>
        <w:t xml:space="preserve">ẽ </w:t>
      </w:r>
      <w:r w:rsidR="008D777F" w:rsidRPr="009146D0">
        <w:rPr>
          <w:rFonts w:ascii="Times New Roman" w:hAnsi="Times New Roman" w:cs="Times New Roman"/>
          <w:spacing w:val="-4"/>
        </w:rPr>
        <w:t>được</w:t>
      </w:r>
      <w:r w:rsidR="008D777F" w:rsidRPr="009146D0">
        <w:rPr>
          <w:rFonts w:ascii="Times New Roman" w:hAnsi="Times New Roman" w:cs="Times New Roman"/>
          <w:spacing w:val="-2"/>
        </w:rPr>
        <w:t xml:space="preserve"> </w:t>
      </w:r>
      <w:r w:rsidR="009F5789" w:rsidRPr="009146D0">
        <w:rPr>
          <w:rFonts w:ascii="Times New Roman" w:hAnsi="Times New Roman" w:cs="Times New Roman"/>
          <w:spacing w:val="-2"/>
        </w:rPr>
        <w:t xml:space="preserve">phân tích </w:t>
      </w:r>
      <w:r w:rsidRPr="009146D0">
        <w:rPr>
          <w:rFonts w:ascii="Times New Roman" w:hAnsi="Times New Roman" w:cs="Times New Roman"/>
          <w:spacing w:val="-2"/>
        </w:rPr>
        <w:t xml:space="preserve">theo </w:t>
      </w:r>
      <w:r w:rsidR="00671785" w:rsidRPr="009146D0">
        <w:rPr>
          <w:rFonts w:ascii="Times New Roman" w:hAnsi="Times New Roman" w:cs="Times New Roman"/>
          <w:spacing w:val="-2"/>
        </w:rPr>
        <w:t>mô thức</w:t>
      </w:r>
      <w:r w:rsidR="004A1C34" w:rsidRPr="009146D0">
        <w:rPr>
          <w:rFonts w:ascii="Times New Roman" w:hAnsi="Times New Roman" w:cs="Times New Roman"/>
          <w:spacing w:val="-2"/>
        </w:rPr>
        <w:t xml:space="preserve"> tách biệt như</w:t>
      </w:r>
      <w:r w:rsidRPr="009146D0">
        <w:rPr>
          <w:rFonts w:ascii="Times New Roman" w:hAnsi="Times New Roman" w:cs="Times New Roman"/>
          <w:spacing w:val="-2"/>
        </w:rPr>
        <w:t xml:space="preserve"> sau:</w:t>
      </w:r>
      <w:r w:rsidRPr="009146D0">
        <w:rPr>
          <w:rFonts w:ascii="Times New Roman" w:hAnsi="Times New Roman" w:cs="Times New Roman"/>
        </w:rPr>
        <w:t xml:space="preserve"> </w:t>
      </w:r>
    </w:p>
    <w:p w:rsidR="00526C4A" w:rsidRPr="009146D0" w:rsidRDefault="00D522A4" w:rsidP="004B43CD">
      <w:pPr>
        <w:widowControl w:val="0"/>
        <w:spacing w:line="276" w:lineRule="auto"/>
        <w:ind w:firstLine="369"/>
        <w:jc w:val="both"/>
        <w:rPr>
          <w:rFonts w:ascii="Times New Roman" w:hAnsi="Times New Roman" w:cs="Times New Roman"/>
        </w:rPr>
      </w:pPr>
      <w:r w:rsidRPr="009146D0">
        <w:rPr>
          <w:rFonts w:ascii="Times New Roman Italic" w:hAnsi="Times New Roman Italic" w:cs="Times New Roman"/>
          <w:i/>
          <w:spacing w:val="-6"/>
        </w:rPr>
        <w:t>1</w:t>
      </w:r>
      <w:r w:rsidR="00F025DB" w:rsidRPr="009146D0">
        <w:rPr>
          <w:rFonts w:ascii="Times New Roman Italic" w:hAnsi="Times New Roman Italic" w:cs="Times New Roman"/>
          <w:i/>
          <w:spacing w:val="-6"/>
        </w:rPr>
        <w:t>.1.</w:t>
      </w:r>
      <w:r w:rsidR="00217ADD" w:rsidRPr="009146D0">
        <w:rPr>
          <w:rFonts w:ascii="Times New Roman Italic" w:hAnsi="Times New Roman Italic" w:cs="Times New Roman"/>
          <w:i/>
          <w:spacing w:val="-6"/>
        </w:rPr>
        <w:t xml:space="preserve"> Q</w:t>
      </w:r>
      <w:r w:rsidR="005E4E1C" w:rsidRPr="009146D0">
        <w:rPr>
          <w:rFonts w:ascii="Times New Roman Italic" w:hAnsi="Times New Roman Italic" w:cs="Times New Roman"/>
          <w:i/>
          <w:spacing w:val="-6"/>
        </w:rPr>
        <w:t xml:space="preserve">uy định của Luật </w:t>
      </w:r>
      <w:r w:rsidR="00A40D12" w:rsidRPr="009146D0">
        <w:rPr>
          <w:rFonts w:ascii="Times New Roman Italic" w:hAnsi="Times New Roman Italic" w:cs="Times New Roman"/>
          <w:i/>
          <w:spacing w:val="-6"/>
        </w:rPr>
        <w:t>Tố tụng hành chính</w:t>
      </w:r>
      <w:r w:rsidR="005E4E1C" w:rsidRPr="009146D0">
        <w:rPr>
          <w:rFonts w:ascii="Times New Roman" w:hAnsi="Times New Roman" w:cs="Times New Roman"/>
          <w:i/>
        </w:rPr>
        <w:t xml:space="preserve"> về thay đổi, bổ</w:t>
      </w:r>
      <w:r w:rsidR="003C1F76" w:rsidRPr="009146D0">
        <w:rPr>
          <w:rFonts w:ascii="Times New Roman" w:hAnsi="Times New Roman" w:cs="Times New Roman"/>
          <w:i/>
        </w:rPr>
        <w:t xml:space="preserve"> sung kháng cáo</w:t>
      </w:r>
    </w:p>
    <w:p w:rsidR="00504DD9" w:rsidRPr="009146D0" w:rsidRDefault="00EB174B" w:rsidP="00C31A84">
      <w:pPr>
        <w:widowControl w:val="0"/>
        <w:spacing w:line="269" w:lineRule="auto"/>
        <w:ind w:firstLine="369"/>
        <w:jc w:val="both"/>
        <w:rPr>
          <w:rFonts w:ascii="Times New Roman" w:hAnsi="Times New Roman" w:cs="Times New Roman"/>
        </w:rPr>
      </w:pPr>
      <w:r w:rsidRPr="009146D0">
        <w:rPr>
          <w:rFonts w:ascii="Times New Roman" w:hAnsi="Times New Roman" w:cs="Times New Roman"/>
          <w:spacing w:val="-2"/>
        </w:rPr>
        <w:t>Căn cứ vào</w:t>
      </w:r>
      <w:r w:rsidR="00B11262" w:rsidRPr="009146D0">
        <w:rPr>
          <w:rFonts w:ascii="Times New Roman" w:hAnsi="Times New Roman" w:cs="Times New Roman"/>
          <w:spacing w:val="-2"/>
        </w:rPr>
        <w:t xml:space="preserve"> </w:t>
      </w:r>
      <w:r w:rsidR="00A40D12" w:rsidRPr="009146D0">
        <w:rPr>
          <w:rFonts w:ascii="Times New Roman" w:hAnsi="Times New Roman" w:cs="Times New Roman"/>
          <w:spacing w:val="-2"/>
        </w:rPr>
        <w:t xml:space="preserve">các </w:t>
      </w:r>
      <w:r w:rsidR="00B11262" w:rsidRPr="009146D0">
        <w:rPr>
          <w:rFonts w:ascii="Times New Roman" w:hAnsi="Times New Roman" w:cs="Times New Roman"/>
          <w:spacing w:val="-2"/>
        </w:rPr>
        <w:t xml:space="preserve">khoản 1, 2 </w:t>
      </w:r>
      <w:r w:rsidR="00A019A8" w:rsidRPr="009146D0">
        <w:rPr>
          <w:rFonts w:ascii="Times New Roman" w:hAnsi="Times New Roman" w:cs="Times New Roman"/>
          <w:spacing w:val="-2"/>
        </w:rPr>
        <w:t>Đ</w:t>
      </w:r>
      <w:r w:rsidR="00E3474E" w:rsidRPr="009146D0">
        <w:rPr>
          <w:rFonts w:ascii="Times New Roman" w:hAnsi="Times New Roman" w:cs="Times New Roman"/>
          <w:spacing w:val="-2"/>
        </w:rPr>
        <w:t>iều</w:t>
      </w:r>
      <w:r w:rsidR="00A019A8" w:rsidRPr="009146D0">
        <w:rPr>
          <w:rFonts w:ascii="Times New Roman" w:hAnsi="Times New Roman" w:cs="Times New Roman"/>
          <w:spacing w:val="-2"/>
        </w:rPr>
        <w:t xml:space="preserve"> 218 Luậ</w:t>
      </w:r>
      <w:r w:rsidR="00467BA0" w:rsidRPr="009146D0">
        <w:rPr>
          <w:rFonts w:ascii="Times New Roman" w:hAnsi="Times New Roman" w:cs="Times New Roman"/>
          <w:spacing w:val="-2"/>
        </w:rPr>
        <w:t>t</w:t>
      </w:r>
      <w:r w:rsidR="00467BA0" w:rsidRPr="009146D0">
        <w:rPr>
          <w:rFonts w:ascii="Times New Roman" w:hAnsi="Times New Roman" w:cs="Times New Roman"/>
        </w:rPr>
        <w:t xml:space="preserve"> TTHC,</w:t>
      </w:r>
      <w:r w:rsidR="00A019A8" w:rsidRPr="009146D0">
        <w:rPr>
          <w:rFonts w:ascii="Times New Roman" w:hAnsi="Times New Roman" w:cs="Times New Roman"/>
        </w:rPr>
        <w:t xml:space="preserve"> quyền </w:t>
      </w:r>
      <w:r w:rsidR="00C30322" w:rsidRPr="009146D0">
        <w:rPr>
          <w:rFonts w:ascii="Times New Roman" w:hAnsi="Times New Roman" w:cs="Times New Roman"/>
        </w:rPr>
        <w:t xml:space="preserve">thay đổi, bổ sung kháng cáo </w:t>
      </w:r>
      <w:r w:rsidR="00B11262" w:rsidRPr="009146D0">
        <w:rPr>
          <w:rFonts w:ascii="Times New Roman" w:hAnsi="Times New Roman" w:cs="Times New Roman"/>
        </w:rPr>
        <w:t>thuộc về</w:t>
      </w:r>
      <w:r w:rsidR="00006D38" w:rsidRPr="009146D0">
        <w:rPr>
          <w:rFonts w:ascii="Times New Roman" w:hAnsi="Times New Roman" w:cs="Times New Roman"/>
        </w:rPr>
        <w:t xml:space="preserve"> người đã kháng cáo</w:t>
      </w:r>
      <w:r w:rsidR="003C1F76" w:rsidRPr="009146D0">
        <w:rPr>
          <w:rFonts w:ascii="Times New Roman" w:hAnsi="Times New Roman" w:cs="Times New Roman"/>
        </w:rPr>
        <w:t xml:space="preserve">. </w:t>
      </w:r>
      <w:r w:rsidR="00A019A8" w:rsidRPr="009146D0">
        <w:rPr>
          <w:rFonts w:ascii="Times New Roman" w:hAnsi="Times New Roman" w:cs="Times New Roman"/>
        </w:rPr>
        <w:t xml:space="preserve">Trong đó, </w:t>
      </w:r>
      <w:r w:rsidR="00006D38" w:rsidRPr="009146D0">
        <w:rPr>
          <w:rFonts w:ascii="Times New Roman" w:hAnsi="Times New Roman" w:cs="Times New Roman"/>
        </w:rPr>
        <w:t>người đã kháng cáo có thể là đương sự</w:t>
      </w:r>
      <w:r w:rsidR="00F234D3" w:rsidRPr="009146D0">
        <w:rPr>
          <w:rFonts w:ascii="Times New Roman" w:hAnsi="Times New Roman" w:cs="Times New Roman"/>
        </w:rPr>
        <w:t xml:space="preserve"> trong vụ án</w:t>
      </w:r>
      <w:r w:rsidR="00B11262" w:rsidRPr="009146D0">
        <w:rPr>
          <w:rFonts w:ascii="Times New Roman" w:hAnsi="Times New Roman" w:cs="Times New Roman"/>
        </w:rPr>
        <w:t xml:space="preserve"> </w:t>
      </w:r>
      <w:r w:rsidR="002A52D6" w:rsidRPr="009146D0">
        <w:rPr>
          <w:rFonts w:ascii="Times New Roman" w:hAnsi="Times New Roman" w:cs="Times New Roman"/>
        </w:rPr>
        <w:t xml:space="preserve">hành chính </w:t>
      </w:r>
      <w:r w:rsidR="00B11262" w:rsidRPr="009146D0">
        <w:rPr>
          <w:rFonts w:ascii="Times New Roman" w:hAnsi="Times New Roman" w:cs="Times New Roman"/>
        </w:rPr>
        <w:t>(người khởi kiện, người bị kiện, người có quyền lợi, nghĩa vụ liên quan)</w:t>
      </w:r>
      <w:r w:rsidR="00006D38" w:rsidRPr="009146D0">
        <w:rPr>
          <w:rFonts w:ascii="Times New Roman" w:hAnsi="Times New Roman" w:cs="Times New Roman"/>
        </w:rPr>
        <w:t xml:space="preserve"> hoặc người đại diện hợp pháp của các đương sự</w:t>
      </w:r>
      <w:r w:rsidR="00B11262" w:rsidRPr="009146D0">
        <w:rPr>
          <w:rFonts w:ascii="Times New Roman" w:hAnsi="Times New Roman" w:cs="Times New Roman"/>
        </w:rPr>
        <w:t xml:space="preserve"> (người đại diện theo pháp luật, đại diện theo ủy quyền)</w:t>
      </w:r>
      <w:r w:rsidRPr="009146D0">
        <w:rPr>
          <w:rStyle w:val="FootnoteReference"/>
          <w:rFonts w:ascii="Times New Roman" w:hAnsi="Times New Roman" w:cs="Times New Roman"/>
          <w:lang w:val="nl-NL"/>
        </w:rPr>
        <w:footnoteReference w:id="1"/>
      </w:r>
      <w:r w:rsidR="00B11262" w:rsidRPr="009146D0">
        <w:rPr>
          <w:rFonts w:ascii="Times New Roman" w:hAnsi="Times New Roman" w:cs="Times New Roman"/>
        </w:rPr>
        <w:t xml:space="preserve">. </w:t>
      </w:r>
      <w:r w:rsidR="00851637" w:rsidRPr="009146D0">
        <w:rPr>
          <w:rFonts w:ascii="Times New Roman" w:hAnsi="Times New Roman" w:cs="Times New Roman"/>
        </w:rPr>
        <w:t>Như vậy,</w:t>
      </w:r>
      <w:r w:rsidR="00F234D3" w:rsidRPr="009146D0">
        <w:rPr>
          <w:rFonts w:ascii="Times New Roman" w:hAnsi="Times New Roman" w:cs="Times New Roman"/>
        </w:rPr>
        <w:t xml:space="preserve"> </w:t>
      </w:r>
      <w:r w:rsidR="00A72816" w:rsidRPr="009146D0">
        <w:rPr>
          <w:rFonts w:ascii="Times New Roman" w:hAnsi="Times New Roman" w:cs="Times New Roman"/>
        </w:rPr>
        <w:t>chỉ khi</w:t>
      </w:r>
      <w:r w:rsidR="00851637" w:rsidRPr="009146D0">
        <w:rPr>
          <w:rFonts w:ascii="Times New Roman" w:hAnsi="Times New Roman" w:cs="Times New Roman"/>
        </w:rPr>
        <w:t xml:space="preserve"> các đương sự, người đại diện</w:t>
      </w:r>
      <w:r w:rsidR="00A72816" w:rsidRPr="009146D0">
        <w:rPr>
          <w:rFonts w:ascii="Times New Roman" w:hAnsi="Times New Roman" w:cs="Times New Roman"/>
        </w:rPr>
        <w:t xml:space="preserve"> hợp pháp</w:t>
      </w:r>
      <w:r w:rsidR="00851637" w:rsidRPr="009146D0">
        <w:rPr>
          <w:rFonts w:ascii="Times New Roman" w:hAnsi="Times New Roman" w:cs="Times New Roman"/>
        </w:rPr>
        <w:t xml:space="preserve"> của đương sự</w:t>
      </w:r>
      <w:r w:rsidR="00A72816" w:rsidRPr="009146D0">
        <w:rPr>
          <w:rFonts w:ascii="Times New Roman" w:hAnsi="Times New Roman" w:cs="Times New Roman"/>
        </w:rPr>
        <w:t xml:space="preserve"> thực hiện việc</w:t>
      </w:r>
      <w:r w:rsidR="00851637" w:rsidRPr="009146D0">
        <w:rPr>
          <w:rFonts w:ascii="Times New Roman" w:hAnsi="Times New Roman" w:cs="Times New Roman"/>
        </w:rPr>
        <w:t xml:space="preserve"> kháng cáo thì họ</w:t>
      </w:r>
      <w:r w:rsidR="00B11262" w:rsidRPr="009146D0">
        <w:rPr>
          <w:rFonts w:ascii="Times New Roman" w:hAnsi="Times New Roman" w:cs="Times New Roman"/>
        </w:rPr>
        <w:t xml:space="preserve"> </w:t>
      </w:r>
      <w:r w:rsidR="00851637" w:rsidRPr="009146D0">
        <w:rPr>
          <w:rFonts w:ascii="Times New Roman" w:hAnsi="Times New Roman" w:cs="Times New Roman"/>
        </w:rPr>
        <w:t>mới có quyền thay đổi, bổ sung kháng cáo</w:t>
      </w:r>
      <w:r w:rsidR="00B11262" w:rsidRPr="009146D0">
        <w:rPr>
          <w:rFonts w:ascii="Times New Roman" w:hAnsi="Times New Roman" w:cs="Times New Roman"/>
        </w:rPr>
        <w:t>. Vậy hiểu thế nào là thay đổi, bổ sung kháng cáo</w:t>
      </w:r>
      <w:r w:rsidR="006C27C2" w:rsidRPr="009146D0">
        <w:rPr>
          <w:rFonts w:ascii="Times New Roman" w:hAnsi="Times New Roman" w:cs="Times New Roman"/>
        </w:rPr>
        <w:t>?</w:t>
      </w:r>
      <w:r w:rsidR="00B11262" w:rsidRPr="009146D0">
        <w:rPr>
          <w:rFonts w:ascii="Times New Roman" w:hAnsi="Times New Roman" w:cs="Times New Roman"/>
        </w:rPr>
        <w:t xml:space="preserve"> </w:t>
      </w:r>
      <w:r w:rsidR="0007171A" w:rsidRPr="009146D0">
        <w:rPr>
          <w:rFonts w:ascii="Times New Roman" w:hAnsi="Times New Roman" w:cs="Times New Roman"/>
        </w:rPr>
        <w:t xml:space="preserve">Theo từ điển </w:t>
      </w:r>
      <w:r w:rsidR="00A40D12" w:rsidRPr="009146D0">
        <w:rPr>
          <w:rFonts w:ascii="Times New Roman" w:hAnsi="Times New Roman" w:cs="Times New Roman"/>
        </w:rPr>
        <w:t>t</w:t>
      </w:r>
      <w:r w:rsidR="0007171A" w:rsidRPr="009146D0">
        <w:rPr>
          <w:rFonts w:ascii="Times New Roman" w:hAnsi="Times New Roman" w:cs="Times New Roman"/>
        </w:rPr>
        <w:t>iếng Việt, “thay đổi” nghĩa là “đổi khác đi, trở nên khác trước”</w:t>
      </w:r>
      <w:r w:rsidR="00467BA0" w:rsidRPr="009146D0">
        <w:rPr>
          <w:rStyle w:val="FootnoteReference"/>
          <w:rFonts w:ascii="Times New Roman" w:hAnsi="Times New Roman" w:cs="Times New Roman"/>
          <w:lang w:val="nl-NL"/>
        </w:rPr>
        <w:footnoteReference w:id="2"/>
      </w:r>
      <w:r w:rsidR="0007171A" w:rsidRPr="009146D0">
        <w:rPr>
          <w:rFonts w:ascii="Times New Roman" w:hAnsi="Times New Roman" w:cs="Times New Roman"/>
        </w:rPr>
        <w:t xml:space="preserve">, “bổ sung” là </w:t>
      </w:r>
      <w:r w:rsidR="00160D38" w:rsidRPr="009146D0">
        <w:rPr>
          <w:rFonts w:ascii="Times New Roman" w:hAnsi="Times New Roman" w:cs="Times New Roman"/>
        </w:rPr>
        <w:t>“</w:t>
      </w:r>
      <w:r w:rsidR="0007171A" w:rsidRPr="009146D0">
        <w:rPr>
          <w:rFonts w:ascii="Times New Roman" w:hAnsi="Times New Roman" w:cs="Times New Roman"/>
        </w:rPr>
        <w:t>thêm vào cho đủ</w:t>
      </w:r>
      <w:r w:rsidR="00160D38" w:rsidRPr="009146D0">
        <w:rPr>
          <w:rFonts w:ascii="Times New Roman" w:hAnsi="Times New Roman" w:cs="Times New Roman"/>
        </w:rPr>
        <w:t>”</w:t>
      </w:r>
      <w:r w:rsidR="009C071C" w:rsidRPr="009146D0">
        <w:rPr>
          <w:rStyle w:val="FootnoteReference"/>
          <w:rFonts w:ascii="Times New Roman" w:hAnsi="Times New Roman" w:cs="Times New Roman"/>
          <w:lang w:val="nl-NL"/>
        </w:rPr>
        <w:footnoteReference w:id="3"/>
      </w:r>
      <w:r w:rsidR="00D86C5F" w:rsidRPr="009146D0">
        <w:rPr>
          <w:rFonts w:ascii="Times New Roman" w:hAnsi="Times New Roman" w:cs="Times New Roman"/>
        </w:rPr>
        <w:t>. Do đó</w:t>
      </w:r>
      <w:r w:rsidR="0007171A" w:rsidRPr="009146D0">
        <w:rPr>
          <w:rFonts w:ascii="Times New Roman" w:hAnsi="Times New Roman" w:cs="Times New Roman"/>
        </w:rPr>
        <w:t xml:space="preserve">, hiểu một cách </w:t>
      </w:r>
      <w:r w:rsidR="0007171A" w:rsidRPr="009146D0">
        <w:rPr>
          <w:rFonts w:ascii="Times New Roman" w:hAnsi="Times New Roman" w:cs="Times New Roman"/>
        </w:rPr>
        <w:lastRenderedPageBreak/>
        <w:t>chung nhất, thay đổ</w:t>
      </w:r>
      <w:r w:rsidR="00F60B16" w:rsidRPr="009146D0">
        <w:rPr>
          <w:rFonts w:ascii="Times New Roman" w:hAnsi="Times New Roman" w:cs="Times New Roman"/>
        </w:rPr>
        <w:t xml:space="preserve">i kháng cáo </w:t>
      </w:r>
      <w:r w:rsidR="0007171A" w:rsidRPr="009146D0">
        <w:rPr>
          <w:rFonts w:ascii="Times New Roman" w:hAnsi="Times New Roman" w:cs="Times New Roman"/>
        </w:rPr>
        <w:t xml:space="preserve">là việc người đã kháng cáo sửa đổi yêu cầu kháng cáo khác đi so với </w:t>
      </w:r>
      <w:r w:rsidR="00F60B16" w:rsidRPr="009146D0">
        <w:rPr>
          <w:rFonts w:ascii="Times New Roman" w:hAnsi="Times New Roman" w:cs="Times New Roman"/>
        </w:rPr>
        <w:t xml:space="preserve">nội dung kháng cáo </w:t>
      </w:r>
      <w:r w:rsidR="0007171A" w:rsidRPr="009146D0">
        <w:rPr>
          <w:rFonts w:ascii="Times New Roman" w:hAnsi="Times New Roman" w:cs="Times New Roman"/>
        </w:rPr>
        <w:t xml:space="preserve">ban đầu, </w:t>
      </w:r>
      <w:r w:rsidR="0007171A" w:rsidRPr="009146D0">
        <w:rPr>
          <w:rFonts w:ascii="Times New Roman" w:hAnsi="Times New Roman" w:cs="Times New Roman"/>
          <w:spacing w:val="-4"/>
        </w:rPr>
        <w:t>còn bổ sung kháng cáo là thêm yêu cầu kháng</w:t>
      </w:r>
      <w:r w:rsidR="0007171A" w:rsidRPr="009146D0">
        <w:rPr>
          <w:rFonts w:ascii="Times New Roman" w:hAnsi="Times New Roman" w:cs="Times New Roman"/>
        </w:rPr>
        <w:t xml:space="preserve"> cáo mới vào</w:t>
      </w:r>
      <w:r w:rsidR="00F60B16" w:rsidRPr="009146D0">
        <w:rPr>
          <w:rFonts w:ascii="Times New Roman" w:hAnsi="Times New Roman" w:cs="Times New Roman"/>
        </w:rPr>
        <w:t xml:space="preserve"> yêu cầu kháng cáo ban đầu</w:t>
      </w:r>
      <w:r w:rsidR="0007171A" w:rsidRPr="009146D0">
        <w:rPr>
          <w:rFonts w:ascii="Times New Roman" w:hAnsi="Times New Roman" w:cs="Times New Roman"/>
        </w:rPr>
        <w:t xml:space="preserve"> để yêu cầ</w:t>
      </w:r>
      <w:r w:rsidR="00F60B16" w:rsidRPr="009146D0">
        <w:rPr>
          <w:rFonts w:ascii="Times New Roman" w:hAnsi="Times New Roman" w:cs="Times New Roman"/>
        </w:rPr>
        <w:t xml:space="preserve">u kháng cáo đó </w:t>
      </w:r>
      <w:r w:rsidR="0007171A" w:rsidRPr="009146D0">
        <w:rPr>
          <w:rFonts w:ascii="Times New Roman" w:hAnsi="Times New Roman" w:cs="Times New Roman"/>
        </w:rPr>
        <w:t xml:space="preserve">trở nên đầy đủ hơn. </w:t>
      </w:r>
    </w:p>
    <w:p w:rsidR="00A36A51" w:rsidRPr="009146D0" w:rsidRDefault="00504DD9" w:rsidP="00C31A84">
      <w:pPr>
        <w:widowControl w:val="0"/>
        <w:spacing w:line="269" w:lineRule="auto"/>
        <w:ind w:firstLine="369"/>
        <w:jc w:val="both"/>
        <w:rPr>
          <w:rFonts w:ascii="Times New Roman" w:hAnsi="Times New Roman" w:cs="Times New Roman"/>
          <w:b/>
        </w:rPr>
      </w:pPr>
      <w:r w:rsidRPr="009146D0">
        <w:rPr>
          <w:rFonts w:ascii="Times New Roman" w:hAnsi="Times New Roman" w:cs="Times New Roman"/>
          <w:spacing w:val="-4"/>
        </w:rPr>
        <w:t xml:space="preserve">- </w:t>
      </w:r>
      <w:r w:rsidR="00190121" w:rsidRPr="009146D0">
        <w:rPr>
          <w:rFonts w:ascii="Times New Roman" w:hAnsi="Times New Roman" w:cs="Times New Roman"/>
          <w:spacing w:val="-4"/>
        </w:rPr>
        <w:t>Về thời điểm</w:t>
      </w:r>
      <w:r w:rsidR="005356FA" w:rsidRPr="009146D0">
        <w:rPr>
          <w:rFonts w:ascii="Times New Roman" w:hAnsi="Times New Roman" w:cs="Times New Roman"/>
          <w:spacing w:val="-4"/>
        </w:rPr>
        <w:t>, điều kiện</w:t>
      </w:r>
      <w:r w:rsidR="00190121" w:rsidRPr="009146D0">
        <w:rPr>
          <w:rFonts w:ascii="Times New Roman" w:hAnsi="Times New Roman" w:cs="Times New Roman"/>
          <w:spacing w:val="-4"/>
        </w:rPr>
        <w:t xml:space="preserve"> thay đổi, bổ</w:t>
      </w:r>
      <w:r w:rsidR="00A36A51" w:rsidRPr="009146D0">
        <w:rPr>
          <w:rFonts w:ascii="Times New Roman" w:hAnsi="Times New Roman" w:cs="Times New Roman"/>
          <w:spacing w:val="-4"/>
        </w:rPr>
        <w:t xml:space="preserve"> sung</w:t>
      </w:r>
      <w:r w:rsidR="00A36A51" w:rsidRPr="009146D0">
        <w:rPr>
          <w:rFonts w:ascii="Times New Roman" w:hAnsi="Times New Roman" w:cs="Times New Roman"/>
        </w:rPr>
        <w:t xml:space="preserve"> kháng cáo</w:t>
      </w:r>
    </w:p>
    <w:p w:rsidR="003B7DB7" w:rsidRPr="009146D0" w:rsidRDefault="003B7DB7" w:rsidP="00C31A84">
      <w:pPr>
        <w:widowControl w:val="0"/>
        <w:spacing w:line="269" w:lineRule="auto"/>
        <w:ind w:firstLine="369"/>
        <w:jc w:val="both"/>
        <w:rPr>
          <w:rFonts w:ascii="Times New Roman" w:hAnsi="Times New Roman" w:cs="Times New Roman"/>
        </w:rPr>
      </w:pPr>
      <w:r w:rsidRPr="009146D0">
        <w:rPr>
          <w:rFonts w:ascii="Times New Roman" w:hAnsi="Times New Roman" w:cs="Times New Roman"/>
          <w:spacing w:val="-4"/>
        </w:rPr>
        <w:t xml:space="preserve">Theo quy định tại </w:t>
      </w:r>
      <w:r w:rsidR="000A6BA6" w:rsidRPr="009146D0">
        <w:rPr>
          <w:rFonts w:ascii="Times New Roman" w:hAnsi="Times New Roman" w:cs="Times New Roman"/>
          <w:spacing w:val="-4"/>
        </w:rPr>
        <w:t xml:space="preserve">các </w:t>
      </w:r>
      <w:r w:rsidRPr="009146D0">
        <w:rPr>
          <w:rFonts w:ascii="Times New Roman" w:hAnsi="Times New Roman" w:cs="Times New Roman"/>
          <w:spacing w:val="-4"/>
        </w:rPr>
        <w:t>khoản 1, 2 Điều 218</w:t>
      </w:r>
      <w:r w:rsidRPr="009146D0">
        <w:rPr>
          <w:rFonts w:ascii="Times New Roman" w:hAnsi="Times New Roman" w:cs="Times New Roman"/>
        </w:rPr>
        <w:t xml:space="preserve"> Luật TTHC, thời điểm</w:t>
      </w:r>
      <w:r w:rsidR="00A400CA" w:rsidRPr="009146D0">
        <w:rPr>
          <w:rFonts w:ascii="Times New Roman" w:hAnsi="Times New Roman" w:cs="Times New Roman"/>
        </w:rPr>
        <w:t>, điều kiện</w:t>
      </w:r>
      <w:r w:rsidRPr="009146D0">
        <w:rPr>
          <w:rFonts w:ascii="Times New Roman" w:hAnsi="Times New Roman" w:cs="Times New Roman"/>
        </w:rPr>
        <w:t xml:space="preserve"> người đã kháng cáo thực hiện quyền thay đổi, bổ sung kháng cáo được chia thành hai trường hợp. </w:t>
      </w:r>
    </w:p>
    <w:p w:rsidR="00061C08" w:rsidRPr="009146D0" w:rsidRDefault="003B7DB7" w:rsidP="00C31A84">
      <w:pPr>
        <w:widowControl w:val="0"/>
        <w:spacing w:line="269" w:lineRule="auto"/>
        <w:ind w:firstLine="369"/>
        <w:jc w:val="both"/>
        <w:rPr>
          <w:rFonts w:ascii="Times New Roman" w:hAnsi="Times New Roman" w:cs="Times New Roman"/>
        </w:rPr>
      </w:pPr>
      <w:r w:rsidRPr="009146D0">
        <w:rPr>
          <w:rFonts w:ascii="Times New Roman" w:hAnsi="Times New Roman" w:cs="Times New Roman"/>
        </w:rPr>
        <w:t xml:space="preserve">Trường hợp </w:t>
      </w:r>
      <w:r w:rsidR="000A6BA6" w:rsidRPr="009146D0">
        <w:rPr>
          <w:rFonts w:ascii="Times New Roman" w:hAnsi="Times New Roman" w:cs="Times New Roman"/>
        </w:rPr>
        <w:t xml:space="preserve">thứ nhất, </w:t>
      </w:r>
      <w:r w:rsidRPr="009146D0">
        <w:rPr>
          <w:rFonts w:ascii="Times New Roman" w:hAnsi="Times New Roman" w:cs="Times New Roman"/>
        </w:rPr>
        <w:t>chưa hết thời hạn kháng cáo theo quy định tại Điều 206 Luật</w:t>
      </w:r>
      <w:r w:rsidR="00DB6407" w:rsidRPr="009146D0">
        <w:rPr>
          <w:rFonts w:ascii="Times New Roman" w:hAnsi="Times New Roman" w:cs="Times New Roman"/>
        </w:rPr>
        <w:t xml:space="preserve"> này</w:t>
      </w:r>
      <w:r w:rsidRPr="009146D0">
        <w:rPr>
          <w:rFonts w:ascii="Times New Roman" w:hAnsi="Times New Roman" w:cs="Times New Roman"/>
        </w:rPr>
        <w:t>, người đã kháng cáo có quyền thay đổi, bổ sung kháng cáo mà không bị giới hạn bởi phạm vi kháng cáo ban đầu.</w:t>
      </w:r>
      <w:r w:rsidR="00FD1A6A" w:rsidRPr="009146D0">
        <w:rPr>
          <w:rFonts w:ascii="Times New Roman" w:hAnsi="Times New Roman" w:cs="Times New Roman"/>
        </w:rPr>
        <w:t xml:space="preserve"> </w:t>
      </w:r>
    </w:p>
    <w:p w:rsidR="003B7DB7" w:rsidRPr="009146D0" w:rsidRDefault="00D15162" w:rsidP="00C31A84">
      <w:pPr>
        <w:widowControl w:val="0"/>
        <w:spacing w:line="269" w:lineRule="auto"/>
        <w:ind w:firstLine="369"/>
        <w:jc w:val="both"/>
        <w:rPr>
          <w:rFonts w:ascii="Times New Roman" w:hAnsi="Times New Roman" w:cs="Times New Roman"/>
        </w:rPr>
      </w:pPr>
      <w:r w:rsidRPr="009146D0">
        <w:rPr>
          <w:rFonts w:ascii="Times New Roman" w:hAnsi="Times New Roman" w:cs="Times New Roman"/>
        </w:rPr>
        <w:t xml:space="preserve">Thời hạn kháng cáo là khoảng thời gian do pháp luật quy định để những người có quyền kháng cáo được kháng cáo bản án, quyết định sơ thẩm của </w:t>
      </w:r>
      <w:r w:rsidR="00E21A03" w:rsidRPr="009146D0">
        <w:rPr>
          <w:rFonts w:ascii="Times New Roman" w:hAnsi="Times New Roman" w:cs="Times New Roman"/>
        </w:rPr>
        <w:t>toà</w:t>
      </w:r>
      <w:r w:rsidRPr="009146D0">
        <w:rPr>
          <w:rFonts w:ascii="Times New Roman" w:hAnsi="Times New Roman" w:cs="Times New Roman"/>
        </w:rPr>
        <w:t xml:space="preserve"> án</w:t>
      </w:r>
      <w:r w:rsidRPr="009146D0">
        <w:rPr>
          <w:rStyle w:val="FootnoteReference"/>
          <w:rFonts w:ascii="Times New Roman" w:hAnsi="Times New Roman" w:cs="Times New Roman"/>
          <w:lang w:val="nl-NL"/>
        </w:rPr>
        <w:footnoteReference w:id="4"/>
      </w:r>
      <w:r w:rsidRPr="009146D0">
        <w:rPr>
          <w:rFonts w:ascii="Times New Roman" w:hAnsi="Times New Roman" w:cs="Times New Roman"/>
        </w:rPr>
        <w:t>.</w:t>
      </w:r>
      <w:r w:rsidR="00F364D9" w:rsidRPr="009146D0">
        <w:rPr>
          <w:rFonts w:ascii="Times New Roman" w:hAnsi="Times New Roman" w:cs="Times New Roman"/>
        </w:rPr>
        <w:t xml:space="preserve"> </w:t>
      </w:r>
      <w:r w:rsidR="006B5F6B" w:rsidRPr="009146D0">
        <w:rPr>
          <w:rFonts w:ascii="Times New Roman" w:hAnsi="Times New Roman" w:cs="Times New Roman"/>
        </w:rPr>
        <w:t xml:space="preserve">Theo đó, </w:t>
      </w:r>
      <w:r w:rsidR="00F364D9" w:rsidRPr="009146D0">
        <w:rPr>
          <w:rFonts w:ascii="Times New Roman" w:hAnsi="Times New Roman" w:cs="Times New Roman"/>
        </w:rPr>
        <w:t xml:space="preserve">Điều 206 Luật TTHC quy định </w:t>
      </w:r>
      <w:r w:rsidR="008265F4" w:rsidRPr="009146D0">
        <w:rPr>
          <w:rFonts w:ascii="Times New Roman" w:hAnsi="Times New Roman" w:cs="Times New Roman"/>
        </w:rPr>
        <w:t xml:space="preserve">thời hạn kháng cáo </w:t>
      </w:r>
      <w:r w:rsidR="006B5F6B" w:rsidRPr="009146D0">
        <w:rPr>
          <w:rFonts w:ascii="Times New Roman" w:hAnsi="Times New Roman" w:cs="Times New Roman"/>
        </w:rPr>
        <w:t xml:space="preserve">một cách chung nhất </w:t>
      </w:r>
      <w:r w:rsidR="008265F4" w:rsidRPr="009146D0">
        <w:rPr>
          <w:rFonts w:ascii="Times New Roman" w:hAnsi="Times New Roman" w:cs="Times New Roman"/>
        </w:rPr>
        <w:t xml:space="preserve">đối với bản án sơ thẩm là 15 ngày kể từ ngày tuyên án, đối với quyết định sơ thẩm là 7 ngày kể từ ngày nhận được quyết định đó. </w:t>
      </w:r>
      <w:r w:rsidR="00010CBD" w:rsidRPr="009146D0">
        <w:rPr>
          <w:rFonts w:ascii="Times New Roman" w:hAnsi="Times New Roman" w:cs="Times New Roman"/>
        </w:rPr>
        <w:t>Khi</w:t>
      </w:r>
      <w:r w:rsidR="00F905FF" w:rsidRPr="009146D0">
        <w:rPr>
          <w:rFonts w:ascii="Times New Roman" w:hAnsi="Times New Roman" w:cs="Times New Roman"/>
        </w:rPr>
        <w:t xml:space="preserve"> còn</w:t>
      </w:r>
      <w:r w:rsidR="00010CBD" w:rsidRPr="009146D0">
        <w:rPr>
          <w:rFonts w:ascii="Times New Roman" w:hAnsi="Times New Roman" w:cs="Times New Roman"/>
        </w:rPr>
        <w:t xml:space="preserve"> thời hạn kháng cáo quyền kháng cáo </w:t>
      </w:r>
      <w:r w:rsidR="001F056E" w:rsidRPr="009146D0">
        <w:rPr>
          <w:rFonts w:ascii="Times New Roman" w:hAnsi="Times New Roman" w:cs="Times New Roman"/>
        </w:rPr>
        <w:t xml:space="preserve">và </w:t>
      </w:r>
      <w:r w:rsidR="00FB5F3E" w:rsidRPr="009146D0">
        <w:rPr>
          <w:rFonts w:ascii="Times New Roman" w:hAnsi="Times New Roman" w:cs="Times New Roman"/>
        </w:rPr>
        <w:t>việc thay đổi, bổ sung</w:t>
      </w:r>
      <w:r w:rsidR="001F056E" w:rsidRPr="009146D0">
        <w:rPr>
          <w:rFonts w:ascii="Times New Roman" w:hAnsi="Times New Roman" w:cs="Times New Roman"/>
        </w:rPr>
        <w:t xml:space="preserve"> </w:t>
      </w:r>
      <w:r w:rsidR="00FB5F3E" w:rsidRPr="009146D0">
        <w:rPr>
          <w:rFonts w:ascii="Times New Roman" w:hAnsi="Times New Roman" w:cs="Times New Roman"/>
        </w:rPr>
        <w:t>nội dung của</w:t>
      </w:r>
      <w:r w:rsidR="001F056E" w:rsidRPr="009146D0">
        <w:rPr>
          <w:rFonts w:ascii="Times New Roman" w:hAnsi="Times New Roman" w:cs="Times New Roman"/>
        </w:rPr>
        <w:t xml:space="preserve"> kháng cáo phải </w:t>
      </w:r>
      <w:r w:rsidR="00010CBD" w:rsidRPr="009146D0">
        <w:rPr>
          <w:rFonts w:ascii="Times New Roman" w:hAnsi="Times New Roman" w:cs="Times New Roman"/>
        </w:rPr>
        <w:t xml:space="preserve">được </w:t>
      </w:r>
      <w:r w:rsidR="002B65D6" w:rsidRPr="009146D0">
        <w:rPr>
          <w:rFonts w:ascii="Times New Roman" w:hAnsi="Times New Roman" w:cs="Times New Roman"/>
        </w:rPr>
        <w:t>ghi nhận, tôn trọng</w:t>
      </w:r>
      <w:r w:rsidR="00010CBD" w:rsidRPr="009146D0">
        <w:rPr>
          <w:rFonts w:ascii="Times New Roman" w:hAnsi="Times New Roman" w:cs="Times New Roman"/>
        </w:rPr>
        <w:t xml:space="preserve"> và bảo đả</w:t>
      </w:r>
      <w:r w:rsidR="001F056E" w:rsidRPr="009146D0">
        <w:rPr>
          <w:rFonts w:ascii="Times New Roman" w:hAnsi="Times New Roman" w:cs="Times New Roman"/>
        </w:rPr>
        <w:t xml:space="preserve">m. </w:t>
      </w:r>
      <w:r w:rsidR="009F3FCA" w:rsidRPr="009146D0">
        <w:rPr>
          <w:rFonts w:ascii="Times New Roman" w:hAnsi="Times New Roman" w:cs="Times New Roman"/>
        </w:rPr>
        <w:t>Trên tinh thần đó, Luật TTHC quy định ngườ</w:t>
      </w:r>
      <w:r w:rsidR="00061C08" w:rsidRPr="009146D0">
        <w:rPr>
          <w:rFonts w:ascii="Times New Roman" w:hAnsi="Times New Roman" w:cs="Times New Roman"/>
        </w:rPr>
        <w:t xml:space="preserve">i đã </w:t>
      </w:r>
      <w:r w:rsidR="009F3FCA" w:rsidRPr="009146D0">
        <w:rPr>
          <w:rFonts w:ascii="Times New Roman" w:hAnsi="Times New Roman" w:cs="Times New Roman"/>
        </w:rPr>
        <w:t>kháng cáo được thay đổi, bổ sung kháng cáo mà không bị giới hạn bởi phạm vi kháng cáo ban đầu khi thời hạn kháng cáo của họ vẫn còn.</w:t>
      </w:r>
      <w:r w:rsidR="00153233" w:rsidRPr="009146D0">
        <w:rPr>
          <w:rFonts w:ascii="Times New Roman" w:hAnsi="Times New Roman" w:cs="Times New Roman"/>
        </w:rPr>
        <w:t xml:space="preserve"> </w:t>
      </w:r>
      <w:r w:rsidR="00E21A03" w:rsidRPr="009146D0">
        <w:rPr>
          <w:rFonts w:ascii="Times New Roman" w:hAnsi="Times New Roman" w:cs="Times New Roman"/>
        </w:rPr>
        <w:t>Đ</w:t>
      </w:r>
      <w:r w:rsidR="009276AF" w:rsidRPr="009146D0">
        <w:rPr>
          <w:rFonts w:ascii="Times New Roman" w:hAnsi="Times New Roman" w:cs="Times New Roman"/>
        </w:rPr>
        <w:t xml:space="preserve">ây là quy định có tính mới và tiến bộ hơn </w:t>
      </w:r>
      <w:r w:rsidR="002E69C5" w:rsidRPr="009146D0">
        <w:rPr>
          <w:rFonts w:ascii="Times New Roman" w:hAnsi="Times New Roman" w:cs="Times New Roman"/>
        </w:rPr>
        <w:t xml:space="preserve">Luật </w:t>
      </w:r>
      <w:r w:rsidR="00E21A03" w:rsidRPr="009146D0">
        <w:rPr>
          <w:rFonts w:ascii="Times New Roman" w:hAnsi="Times New Roman" w:cs="Times New Roman"/>
        </w:rPr>
        <w:t>TTHC</w:t>
      </w:r>
      <w:r w:rsidR="002E69C5" w:rsidRPr="009146D0">
        <w:rPr>
          <w:rFonts w:ascii="Times New Roman" w:hAnsi="Times New Roman" w:cs="Times New Roman"/>
        </w:rPr>
        <w:t xml:space="preserve"> năm 2010</w:t>
      </w:r>
      <w:r w:rsidR="002E69C5" w:rsidRPr="009146D0">
        <w:rPr>
          <w:rStyle w:val="FootnoteReference"/>
          <w:rFonts w:ascii="Times New Roman" w:hAnsi="Times New Roman" w:cs="Times New Roman"/>
          <w:lang w:val="nl-NL"/>
        </w:rPr>
        <w:footnoteReference w:id="5"/>
      </w:r>
      <w:r w:rsidR="004F14E3" w:rsidRPr="009146D0">
        <w:rPr>
          <w:rFonts w:ascii="Times New Roman" w:hAnsi="Times New Roman" w:cs="Times New Roman"/>
        </w:rPr>
        <w:t xml:space="preserve">, vừa </w:t>
      </w:r>
      <w:r w:rsidR="00B006BA" w:rsidRPr="009146D0">
        <w:rPr>
          <w:rFonts w:ascii="Times New Roman" w:hAnsi="Times New Roman" w:cs="Times New Roman"/>
        </w:rPr>
        <w:t xml:space="preserve">bảo đảm </w:t>
      </w:r>
      <w:r w:rsidR="00B006BA" w:rsidRPr="009146D0">
        <w:rPr>
          <w:rFonts w:ascii="Times New Roman" w:hAnsi="Times New Roman" w:cs="Times New Roman"/>
        </w:rPr>
        <w:lastRenderedPageBreak/>
        <w:t xml:space="preserve">được quyền kháng cáo </w:t>
      </w:r>
      <w:r w:rsidR="006C1A99" w:rsidRPr="009146D0">
        <w:rPr>
          <w:rFonts w:ascii="Times New Roman" w:hAnsi="Times New Roman" w:cs="Times New Roman"/>
        </w:rPr>
        <w:t>của đương sự</w:t>
      </w:r>
      <w:r w:rsidR="004F14E3" w:rsidRPr="009146D0">
        <w:rPr>
          <w:rFonts w:ascii="Times New Roman" w:hAnsi="Times New Roman" w:cs="Times New Roman"/>
        </w:rPr>
        <w:t xml:space="preserve"> </w:t>
      </w:r>
      <w:r w:rsidR="002C32BE" w:rsidRPr="009146D0">
        <w:rPr>
          <w:rFonts w:ascii="Times New Roman" w:hAnsi="Times New Roman" w:cs="Times New Roman"/>
        </w:rPr>
        <w:t xml:space="preserve">vừa </w:t>
      </w:r>
      <w:r w:rsidR="00D9527E" w:rsidRPr="009146D0">
        <w:rPr>
          <w:rFonts w:ascii="Times New Roman" w:hAnsi="Times New Roman" w:cs="Times New Roman"/>
        </w:rPr>
        <w:t xml:space="preserve">tạo điều kiện để đương sự có kháng cáo suy xét, đánh giá </w:t>
      </w:r>
      <w:r w:rsidR="00F025DB" w:rsidRPr="009146D0">
        <w:rPr>
          <w:rFonts w:ascii="Times New Roman" w:hAnsi="Times New Roman" w:cs="Times New Roman"/>
        </w:rPr>
        <w:t xml:space="preserve">kĩ lưỡng </w:t>
      </w:r>
      <w:r w:rsidR="00D9527E" w:rsidRPr="009146D0">
        <w:rPr>
          <w:rFonts w:ascii="Times New Roman" w:hAnsi="Times New Roman" w:cs="Times New Roman"/>
        </w:rPr>
        <w:t xml:space="preserve">các nội dung kháng cáo để từ đó </w:t>
      </w:r>
      <w:r w:rsidR="00E434C2" w:rsidRPr="009146D0">
        <w:rPr>
          <w:rFonts w:ascii="Times New Roman" w:hAnsi="Times New Roman" w:cs="Times New Roman"/>
        </w:rPr>
        <w:t xml:space="preserve">kịp thời </w:t>
      </w:r>
      <w:r w:rsidR="00D9527E" w:rsidRPr="009146D0">
        <w:rPr>
          <w:rFonts w:ascii="Times New Roman" w:hAnsi="Times New Roman" w:cs="Times New Roman"/>
        </w:rPr>
        <w:t xml:space="preserve">thay đổi, bổ sung nội dung kháng cáo cho phù hợp, yêu cầu </w:t>
      </w:r>
      <w:r w:rsidR="00E21A03" w:rsidRPr="009146D0">
        <w:rPr>
          <w:rFonts w:ascii="Times New Roman" w:hAnsi="Times New Roman" w:cs="Times New Roman"/>
        </w:rPr>
        <w:t>toà</w:t>
      </w:r>
      <w:r w:rsidR="00D9527E" w:rsidRPr="009146D0">
        <w:rPr>
          <w:rFonts w:ascii="Times New Roman" w:hAnsi="Times New Roman" w:cs="Times New Roman"/>
        </w:rPr>
        <w:t xml:space="preserve"> án bảo vệ toàn diện nhất các vấn đề mà họ không đồng tình với phán quyết của bản án sơ thẩm. Tuy nhiên cần lưu ý, mặc dù</w:t>
      </w:r>
      <w:r w:rsidR="00933B3F" w:rsidRPr="009146D0">
        <w:rPr>
          <w:rFonts w:ascii="Times New Roman" w:hAnsi="Times New Roman" w:cs="Times New Roman"/>
        </w:rPr>
        <w:t xml:space="preserve"> </w:t>
      </w:r>
      <w:r w:rsidR="008C4D19" w:rsidRPr="009146D0">
        <w:rPr>
          <w:rFonts w:ascii="Times New Roman" w:hAnsi="Times New Roman" w:cs="Times New Roman"/>
        </w:rPr>
        <w:t>theo quy định của</w:t>
      </w:r>
      <w:r w:rsidR="00933B3F" w:rsidRPr="009146D0">
        <w:rPr>
          <w:rFonts w:ascii="Times New Roman" w:hAnsi="Times New Roman" w:cs="Times New Roman"/>
        </w:rPr>
        <w:t xml:space="preserve"> </w:t>
      </w:r>
      <w:r w:rsidR="008C4D19" w:rsidRPr="009146D0">
        <w:rPr>
          <w:rFonts w:ascii="Times New Roman" w:hAnsi="Times New Roman" w:cs="Times New Roman"/>
        </w:rPr>
        <w:t>L</w:t>
      </w:r>
      <w:r w:rsidR="00F72848" w:rsidRPr="009146D0">
        <w:rPr>
          <w:rFonts w:ascii="Times New Roman" w:hAnsi="Times New Roman" w:cs="Times New Roman"/>
        </w:rPr>
        <w:t xml:space="preserve">uật </w:t>
      </w:r>
      <w:r w:rsidR="00DF119F" w:rsidRPr="009146D0">
        <w:rPr>
          <w:rFonts w:ascii="Times New Roman" w:hAnsi="Times New Roman" w:cs="Times New Roman"/>
        </w:rPr>
        <w:t>TTHC</w:t>
      </w:r>
      <w:r w:rsidR="00933B3F" w:rsidRPr="009146D0">
        <w:rPr>
          <w:rFonts w:ascii="Times New Roman" w:hAnsi="Times New Roman" w:cs="Times New Roman"/>
        </w:rPr>
        <w:t>,</w:t>
      </w:r>
      <w:r w:rsidR="00D9527E" w:rsidRPr="009146D0">
        <w:rPr>
          <w:rFonts w:ascii="Times New Roman" w:hAnsi="Times New Roman" w:cs="Times New Roman"/>
        </w:rPr>
        <w:t xml:space="preserve"> </w:t>
      </w:r>
      <w:r w:rsidR="00933B3F" w:rsidRPr="009146D0">
        <w:rPr>
          <w:rFonts w:ascii="Times New Roman" w:hAnsi="Times New Roman" w:cs="Times New Roman"/>
        </w:rPr>
        <w:t xml:space="preserve">nếu còn </w:t>
      </w:r>
      <w:r w:rsidR="00C21CCD" w:rsidRPr="009146D0">
        <w:rPr>
          <w:rFonts w:ascii="Times New Roman" w:hAnsi="Times New Roman" w:cs="Times New Roman"/>
        </w:rPr>
        <w:t>thời hạn kháng cáo, việc thay đổi, bổ sung kháng cáo có thể vượt qua phạm vi kháng cáo ban đầu</w:t>
      </w:r>
      <w:r w:rsidR="00933B3F" w:rsidRPr="009146D0">
        <w:rPr>
          <w:rFonts w:ascii="Times New Roman" w:hAnsi="Times New Roman" w:cs="Times New Roman"/>
        </w:rPr>
        <w:t xml:space="preserve"> </w:t>
      </w:r>
      <w:r w:rsidR="000B0037" w:rsidRPr="009146D0">
        <w:rPr>
          <w:rFonts w:ascii="Times New Roman" w:hAnsi="Times New Roman" w:cs="Times New Roman"/>
        </w:rPr>
        <w:t xml:space="preserve">thế </w:t>
      </w:r>
      <w:r w:rsidR="00C21CCD" w:rsidRPr="009146D0">
        <w:rPr>
          <w:rFonts w:ascii="Times New Roman" w:hAnsi="Times New Roman" w:cs="Times New Roman"/>
        </w:rPr>
        <w:t xml:space="preserve">nhưng </w:t>
      </w:r>
      <w:r w:rsidR="008C4D19" w:rsidRPr="009146D0">
        <w:rPr>
          <w:rFonts w:ascii="Times New Roman" w:hAnsi="Times New Roman" w:cs="Times New Roman"/>
        </w:rPr>
        <w:t xml:space="preserve">để bảo đảm nguyên tắc hai cấp xét xử và bảo đảm tính chất, phạm vi xét xử phúc thẩm, mọi </w:t>
      </w:r>
      <w:r w:rsidR="00C21CCD" w:rsidRPr="009146D0">
        <w:rPr>
          <w:rFonts w:ascii="Times New Roman" w:hAnsi="Times New Roman" w:cs="Times New Roman"/>
        </w:rPr>
        <w:t xml:space="preserve">thay đổi, bổ sung </w:t>
      </w:r>
      <w:r w:rsidR="00DF119F" w:rsidRPr="009146D0">
        <w:rPr>
          <w:rFonts w:ascii="Times New Roman" w:hAnsi="Times New Roman" w:cs="Times New Roman"/>
        </w:rPr>
        <w:t xml:space="preserve">kháng cáo trong thời hạn kháng cáo </w:t>
      </w:r>
      <w:r w:rsidR="00C21CCD" w:rsidRPr="009146D0">
        <w:rPr>
          <w:rFonts w:ascii="Times New Roman" w:hAnsi="Times New Roman" w:cs="Times New Roman"/>
        </w:rPr>
        <w:t xml:space="preserve">phải </w:t>
      </w:r>
      <w:r w:rsidR="008C4D19" w:rsidRPr="009146D0">
        <w:rPr>
          <w:rFonts w:ascii="Times New Roman" w:hAnsi="Times New Roman" w:cs="Times New Roman"/>
        </w:rPr>
        <w:t xml:space="preserve">nằm </w:t>
      </w:r>
      <w:r w:rsidR="00C21CCD" w:rsidRPr="009146D0">
        <w:rPr>
          <w:rFonts w:ascii="Times New Roman" w:hAnsi="Times New Roman" w:cs="Times New Roman"/>
        </w:rPr>
        <w:t>trong phạm vi của bản án s</w:t>
      </w:r>
      <w:r w:rsidR="000B4186" w:rsidRPr="009146D0">
        <w:rPr>
          <w:rFonts w:ascii="Times New Roman" w:hAnsi="Times New Roman" w:cs="Times New Roman"/>
        </w:rPr>
        <w:t>ơ thẩm</w:t>
      </w:r>
      <w:r w:rsidR="00601019" w:rsidRPr="009146D0">
        <w:rPr>
          <w:rFonts w:ascii="Times New Roman" w:hAnsi="Times New Roman" w:cs="Times New Roman"/>
        </w:rPr>
        <w:t xml:space="preserve"> </w:t>
      </w:r>
      <w:r w:rsidR="00D9527E" w:rsidRPr="009146D0">
        <w:rPr>
          <w:rFonts w:ascii="Times New Roman" w:hAnsi="Times New Roman" w:cs="Times New Roman"/>
          <w:i/>
        </w:rPr>
        <w:t>Ví dụ:</w:t>
      </w:r>
      <w:r w:rsidR="00D9527E" w:rsidRPr="009146D0">
        <w:rPr>
          <w:rFonts w:ascii="Times New Roman" w:hAnsi="Times New Roman" w:cs="Times New Roman"/>
        </w:rPr>
        <w:t xml:space="preserve"> Bản án sơ thẩm của TAND tỉnh ĐN tuyên bác yêu cầu khởi kiện </w:t>
      </w:r>
      <w:r w:rsidR="00B742A2" w:rsidRPr="009146D0">
        <w:rPr>
          <w:rFonts w:ascii="Times New Roman" w:hAnsi="Times New Roman" w:cs="Times New Roman"/>
        </w:rPr>
        <w:t xml:space="preserve">số 1 </w:t>
      </w:r>
      <w:r w:rsidR="00D9527E" w:rsidRPr="009146D0">
        <w:rPr>
          <w:rFonts w:ascii="Times New Roman" w:hAnsi="Times New Roman" w:cs="Times New Roman"/>
        </w:rPr>
        <w:t xml:space="preserve">của ông A về việc </w:t>
      </w:r>
      <w:r w:rsidR="00B742A2" w:rsidRPr="009146D0">
        <w:rPr>
          <w:rFonts w:ascii="Times New Roman" w:hAnsi="Times New Roman" w:cs="Times New Roman"/>
        </w:rPr>
        <w:t xml:space="preserve">đề nghị </w:t>
      </w:r>
      <w:r w:rsidR="005F28C0" w:rsidRPr="009146D0">
        <w:rPr>
          <w:rFonts w:ascii="Times New Roman" w:hAnsi="Times New Roman" w:cs="Times New Roman"/>
        </w:rPr>
        <w:t xml:space="preserve">toà </w:t>
      </w:r>
      <w:r w:rsidR="00B742A2" w:rsidRPr="009146D0">
        <w:rPr>
          <w:rFonts w:ascii="Times New Roman" w:hAnsi="Times New Roman" w:cs="Times New Roman"/>
        </w:rPr>
        <w:t xml:space="preserve">án </w:t>
      </w:r>
      <w:r w:rsidR="00D9527E" w:rsidRPr="009146D0">
        <w:rPr>
          <w:rFonts w:ascii="Times New Roman" w:hAnsi="Times New Roman" w:cs="Times New Roman"/>
        </w:rPr>
        <w:t>tuyên hủy Quyết định thu hồi đất</w:t>
      </w:r>
      <w:r w:rsidR="000B4186" w:rsidRPr="009146D0">
        <w:rPr>
          <w:rFonts w:ascii="Times New Roman" w:hAnsi="Times New Roman" w:cs="Times New Roman"/>
        </w:rPr>
        <w:t xml:space="preserve"> số 379/QĐ-UBND</w:t>
      </w:r>
      <w:r w:rsidR="00D9527E" w:rsidRPr="009146D0">
        <w:rPr>
          <w:rFonts w:ascii="Times New Roman" w:hAnsi="Times New Roman" w:cs="Times New Roman"/>
        </w:rPr>
        <w:t xml:space="preserve"> của UBND huyện TB tỉnh ĐN</w:t>
      </w:r>
      <w:r w:rsidR="00883EB5" w:rsidRPr="009146D0">
        <w:rPr>
          <w:rFonts w:ascii="Times New Roman" w:hAnsi="Times New Roman" w:cs="Times New Roman"/>
        </w:rPr>
        <w:t>,</w:t>
      </w:r>
      <w:r w:rsidR="00D9527E" w:rsidRPr="009146D0">
        <w:rPr>
          <w:rFonts w:ascii="Times New Roman" w:hAnsi="Times New Roman" w:cs="Times New Roman"/>
        </w:rPr>
        <w:t xml:space="preserve"> đồng thời </w:t>
      </w:r>
      <w:r w:rsidR="00883EB5" w:rsidRPr="009146D0">
        <w:rPr>
          <w:rFonts w:ascii="Times New Roman" w:hAnsi="Times New Roman" w:cs="Times New Roman"/>
        </w:rPr>
        <w:t>toà</w:t>
      </w:r>
      <w:r w:rsidR="00B742A2" w:rsidRPr="009146D0">
        <w:rPr>
          <w:rFonts w:ascii="Times New Roman" w:hAnsi="Times New Roman" w:cs="Times New Roman"/>
        </w:rPr>
        <w:t xml:space="preserve"> án </w:t>
      </w:r>
      <w:r w:rsidR="00D9527E" w:rsidRPr="009146D0">
        <w:rPr>
          <w:rFonts w:ascii="Times New Roman" w:hAnsi="Times New Roman" w:cs="Times New Roman"/>
        </w:rPr>
        <w:t xml:space="preserve">cũng bác yêu cầu </w:t>
      </w:r>
      <w:r w:rsidR="00B742A2" w:rsidRPr="009146D0">
        <w:rPr>
          <w:rFonts w:ascii="Times New Roman" w:hAnsi="Times New Roman" w:cs="Times New Roman"/>
        </w:rPr>
        <w:t xml:space="preserve">số 2 của ông A về vấn đề </w:t>
      </w:r>
      <w:r w:rsidR="00D9527E" w:rsidRPr="009146D0">
        <w:rPr>
          <w:rFonts w:ascii="Times New Roman" w:hAnsi="Times New Roman" w:cs="Times New Roman"/>
        </w:rPr>
        <w:t xml:space="preserve">đòi </w:t>
      </w:r>
      <w:r w:rsidR="00B742A2" w:rsidRPr="009146D0">
        <w:rPr>
          <w:rFonts w:ascii="Times New Roman" w:hAnsi="Times New Roman" w:cs="Times New Roman"/>
        </w:rPr>
        <w:t xml:space="preserve">người bị kiện </w:t>
      </w:r>
      <w:r w:rsidR="00D9527E" w:rsidRPr="009146D0">
        <w:rPr>
          <w:rFonts w:ascii="Times New Roman" w:hAnsi="Times New Roman" w:cs="Times New Roman"/>
        </w:rPr>
        <w:t xml:space="preserve">bồi thường thiệt hại </w:t>
      </w:r>
      <w:r w:rsidR="00B742A2" w:rsidRPr="009146D0">
        <w:rPr>
          <w:rFonts w:ascii="Times New Roman" w:hAnsi="Times New Roman" w:cs="Times New Roman"/>
        </w:rPr>
        <w:t>cho ông 200 triệu đồng</w:t>
      </w:r>
      <w:r w:rsidR="00D9527E" w:rsidRPr="009146D0">
        <w:rPr>
          <w:rFonts w:ascii="Times New Roman" w:hAnsi="Times New Roman" w:cs="Times New Roman"/>
        </w:rPr>
        <w:t xml:space="preserve">. Không đồng ý, ông A kháng cáo </w:t>
      </w:r>
      <w:r w:rsidR="00B742A2" w:rsidRPr="009146D0">
        <w:rPr>
          <w:rFonts w:ascii="Times New Roman" w:hAnsi="Times New Roman" w:cs="Times New Roman"/>
        </w:rPr>
        <w:t xml:space="preserve">đề nghị </w:t>
      </w:r>
      <w:r w:rsidR="00883EB5" w:rsidRPr="009146D0">
        <w:rPr>
          <w:rFonts w:ascii="Times New Roman" w:hAnsi="Times New Roman" w:cs="Times New Roman"/>
        </w:rPr>
        <w:t>toà</w:t>
      </w:r>
      <w:r w:rsidR="00B742A2" w:rsidRPr="009146D0">
        <w:rPr>
          <w:rFonts w:ascii="Times New Roman" w:hAnsi="Times New Roman" w:cs="Times New Roman"/>
        </w:rPr>
        <w:t xml:space="preserve"> án cấp phúc thẩm chấp nhận yêu cầu </w:t>
      </w:r>
      <w:r w:rsidR="00D42FAA" w:rsidRPr="009146D0">
        <w:rPr>
          <w:rFonts w:ascii="Times New Roman" w:hAnsi="Times New Roman" w:cs="Times New Roman"/>
        </w:rPr>
        <w:t>số 1 của ông. Trong thời hạn kháng cáo, ông A bổ sung kháng cáo yêu cầ</w:t>
      </w:r>
      <w:r w:rsidR="00883EB5" w:rsidRPr="009146D0">
        <w:rPr>
          <w:rFonts w:ascii="Times New Roman" w:hAnsi="Times New Roman" w:cs="Times New Roman"/>
        </w:rPr>
        <w:t>u toà</w:t>
      </w:r>
      <w:r w:rsidR="00D42FAA" w:rsidRPr="009146D0">
        <w:rPr>
          <w:rFonts w:ascii="Times New Roman" w:hAnsi="Times New Roman" w:cs="Times New Roman"/>
        </w:rPr>
        <w:t xml:space="preserve"> án </w:t>
      </w:r>
      <w:r w:rsidR="00C117B1" w:rsidRPr="009146D0">
        <w:rPr>
          <w:rFonts w:ascii="Times New Roman" w:hAnsi="Times New Roman" w:cs="Times New Roman"/>
        </w:rPr>
        <w:t xml:space="preserve">phúc thẩm giải quyết lại về yêu cầu số 2 của ông. Trong trường hợp này, mặc dù yêu cầu bổ sung của ông A vượt quá phạm vi kháng cáo ban đầu nhưng vấn đề giải quyết về yêu cầu đòi bồi thường đã được giải quyết ở </w:t>
      </w:r>
      <w:r w:rsidR="00D82547" w:rsidRPr="009146D0">
        <w:rPr>
          <w:rFonts w:ascii="Times New Roman" w:hAnsi="Times New Roman" w:cs="Times New Roman"/>
        </w:rPr>
        <w:t>toà</w:t>
      </w:r>
      <w:r w:rsidR="00C117B1" w:rsidRPr="009146D0">
        <w:rPr>
          <w:rFonts w:ascii="Times New Roman" w:hAnsi="Times New Roman" w:cs="Times New Roman"/>
        </w:rPr>
        <w:t xml:space="preserve"> sơ thẩm nên bổ sung này được chấp nhận.</w:t>
      </w:r>
    </w:p>
    <w:p w:rsidR="0084593C" w:rsidRPr="009146D0" w:rsidRDefault="005356FA" w:rsidP="00C31A84">
      <w:pPr>
        <w:widowControl w:val="0"/>
        <w:spacing w:line="271" w:lineRule="auto"/>
        <w:ind w:firstLine="369"/>
        <w:jc w:val="both"/>
        <w:rPr>
          <w:rFonts w:ascii="Times New Roman" w:hAnsi="Times New Roman" w:cs="Times New Roman"/>
        </w:rPr>
      </w:pPr>
      <w:r w:rsidRPr="009146D0">
        <w:rPr>
          <w:rFonts w:ascii="Times New Roman" w:hAnsi="Times New Roman" w:cs="Times New Roman"/>
        </w:rPr>
        <w:t>Trường hợp</w:t>
      </w:r>
      <w:r w:rsidR="002E0623" w:rsidRPr="009146D0">
        <w:rPr>
          <w:rFonts w:ascii="Times New Roman" w:hAnsi="Times New Roman" w:cs="Times New Roman"/>
        </w:rPr>
        <w:t xml:space="preserve"> thứ hai</w:t>
      </w:r>
      <w:r w:rsidRPr="009146D0">
        <w:rPr>
          <w:rFonts w:ascii="Times New Roman" w:hAnsi="Times New Roman" w:cs="Times New Roman"/>
        </w:rPr>
        <w:t xml:space="preserve">, trước khi bắt đầu phiên </w:t>
      </w:r>
      <w:r w:rsidR="008540FE" w:rsidRPr="009146D0">
        <w:rPr>
          <w:rFonts w:ascii="Times New Roman" w:hAnsi="Times New Roman" w:cs="Times New Roman"/>
        </w:rPr>
        <w:t>toà</w:t>
      </w:r>
      <w:r w:rsidRPr="009146D0">
        <w:rPr>
          <w:rFonts w:ascii="Times New Roman" w:hAnsi="Times New Roman" w:cs="Times New Roman"/>
        </w:rPr>
        <w:t xml:space="preserve"> hoặc tại phiên </w:t>
      </w:r>
      <w:r w:rsidR="008540FE" w:rsidRPr="009146D0">
        <w:rPr>
          <w:rFonts w:ascii="Times New Roman" w:hAnsi="Times New Roman" w:cs="Times New Roman"/>
        </w:rPr>
        <w:t>toà</w:t>
      </w:r>
      <w:r w:rsidRPr="009146D0">
        <w:rPr>
          <w:rFonts w:ascii="Times New Roman" w:hAnsi="Times New Roman" w:cs="Times New Roman"/>
        </w:rPr>
        <w:t xml:space="preserve"> phúc thẩm, người kháng cáo có quyền thay đổi, bổ sung kháng cáo nhưng không được vượt quá phạm vi kháng cáo ban đầu nếu thời hạn kháng cáo đã hết</w:t>
      </w:r>
      <w:r w:rsidR="00B6479F" w:rsidRPr="009146D0">
        <w:rPr>
          <w:rFonts w:ascii="Times New Roman" w:hAnsi="Times New Roman" w:cs="Times New Roman"/>
        </w:rPr>
        <w:t xml:space="preserve">. </w:t>
      </w:r>
    </w:p>
    <w:p w:rsidR="00EB0DAF" w:rsidRPr="009146D0" w:rsidRDefault="00B6479F" w:rsidP="00081D48">
      <w:pPr>
        <w:widowControl w:val="0"/>
        <w:spacing w:line="276" w:lineRule="auto"/>
        <w:ind w:firstLine="369"/>
        <w:jc w:val="both"/>
        <w:rPr>
          <w:rFonts w:ascii="Times New Roman" w:eastAsia="Times New Roman" w:hAnsi="Times New Roman" w:cs="Times New Roman"/>
        </w:rPr>
      </w:pPr>
      <w:r w:rsidRPr="009146D0">
        <w:rPr>
          <w:rFonts w:ascii="Times New Roman" w:hAnsi="Times New Roman" w:cs="Times New Roman"/>
        </w:rPr>
        <w:t>Đ</w:t>
      </w:r>
      <w:r w:rsidR="00E80EA3" w:rsidRPr="009146D0">
        <w:rPr>
          <w:rFonts w:ascii="Times New Roman" w:hAnsi="Times New Roman" w:cs="Times New Roman"/>
        </w:rPr>
        <w:t>iều khoản này cho thấy,</w:t>
      </w:r>
      <w:r w:rsidR="0084593C" w:rsidRPr="009146D0">
        <w:rPr>
          <w:rFonts w:ascii="Times New Roman" w:hAnsi="Times New Roman" w:cs="Times New Roman"/>
        </w:rPr>
        <w:t xml:space="preserve"> việc thay đổi, </w:t>
      </w:r>
      <w:r w:rsidR="0084593C" w:rsidRPr="009146D0">
        <w:rPr>
          <w:rFonts w:ascii="Times New Roman" w:hAnsi="Times New Roman" w:cs="Times New Roman"/>
        </w:rPr>
        <w:lastRenderedPageBreak/>
        <w:t xml:space="preserve">bổ sung kháng cáo không chỉ được thực hiện ở thời điểm chưa hết thời hạn kháng cáo mà còn được thực hiện ở thời điểm đã hết thời hạn kháng cáo. Theo đó, </w:t>
      </w:r>
      <w:r w:rsidR="00E80EA3" w:rsidRPr="009146D0">
        <w:rPr>
          <w:rFonts w:ascii="Times New Roman" w:hAnsi="Times New Roman" w:cs="Times New Roman"/>
        </w:rPr>
        <w:t xml:space="preserve">trước khi mở phiên </w:t>
      </w:r>
      <w:r w:rsidR="008540FE" w:rsidRPr="009146D0">
        <w:rPr>
          <w:rFonts w:ascii="Times New Roman" w:hAnsi="Times New Roman" w:cs="Times New Roman"/>
        </w:rPr>
        <w:t>toà</w:t>
      </w:r>
      <w:r w:rsidR="00E80EA3" w:rsidRPr="009146D0">
        <w:rPr>
          <w:rFonts w:ascii="Times New Roman" w:hAnsi="Times New Roman" w:cs="Times New Roman"/>
        </w:rPr>
        <w:t xml:space="preserve"> hoặc tại phiên </w:t>
      </w:r>
      <w:r w:rsidR="008540FE" w:rsidRPr="009146D0">
        <w:rPr>
          <w:rFonts w:ascii="Times New Roman" w:hAnsi="Times New Roman" w:cs="Times New Roman"/>
        </w:rPr>
        <w:t>toà</w:t>
      </w:r>
      <w:r w:rsidR="000D5203" w:rsidRPr="009146D0">
        <w:rPr>
          <w:rFonts w:ascii="Times New Roman" w:hAnsi="Times New Roman" w:cs="Times New Roman"/>
        </w:rPr>
        <w:t xml:space="preserve"> phúc thẩm</w:t>
      </w:r>
      <w:r w:rsidR="00E80EA3" w:rsidRPr="009146D0">
        <w:rPr>
          <w:rFonts w:ascii="Times New Roman" w:hAnsi="Times New Roman" w:cs="Times New Roman"/>
        </w:rPr>
        <w:t xml:space="preserve">, người đã kháng cáo vẫn có thể thay đổi, bổ sung kháng cáo </w:t>
      </w:r>
      <w:r w:rsidR="003E2B8E" w:rsidRPr="009146D0">
        <w:rPr>
          <w:rFonts w:ascii="Times New Roman" w:hAnsi="Times New Roman" w:cs="Times New Roman"/>
        </w:rPr>
        <w:t>nhưng chỉ đượ</w:t>
      </w:r>
      <w:r w:rsidR="002E0623" w:rsidRPr="009146D0">
        <w:rPr>
          <w:rFonts w:ascii="Times New Roman" w:hAnsi="Times New Roman" w:cs="Times New Roman"/>
        </w:rPr>
        <w:t>c toà</w:t>
      </w:r>
      <w:r w:rsidR="003E2B8E" w:rsidRPr="009146D0">
        <w:rPr>
          <w:rFonts w:ascii="Times New Roman" w:hAnsi="Times New Roman" w:cs="Times New Roman"/>
        </w:rPr>
        <w:t xml:space="preserve"> án án phúc thẩm chấp nhận xem xét khi </w:t>
      </w:r>
      <w:r w:rsidRPr="009146D0">
        <w:rPr>
          <w:rFonts w:ascii="Times New Roman" w:hAnsi="Times New Roman" w:cs="Times New Roman"/>
        </w:rPr>
        <w:t xml:space="preserve">việc thay đổi, bổ sung đó </w:t>
      </w:r>
      <w:r w:rsidR="00EB0DAF" w:rsidRPr="009146D0">
        <w:rPr>
          <w:rFonts w:ascii="Times New Roman" w:hAnsi="Times New Roman" w:cs="Times New Roman"/>
        </w:rPr>
        <w:t>“</w:t>
      </w:r>
      <w:r w:rsidRPr="009146D0">
        <w:rPr>
          <w:rFonts w:ascii="Times New Roman" w:hAnsi="Times New Roman" w:cs="Times New Roman"/>
        </w:rPr>
        <w:t xml:space="preserve">không </w:t>
      </w:r>
      <w:r w:rsidR="00E80EA3" w:rsidRPr="009146D0">
        <w:rPr>
          <w:rFonts w:ascii="Times New Roman" w:hAnsi="Times New Roman" w:cs="Times New Roman"/>
        </w:rPr>
        <w:t>vượt quá phạm vi kháng cáo ban đầu”</w:t>
      </w:r>
      <w:r w:rsidRPr="009146D0">
        <w:rPr>
          <w:rFonts w:ascii="Times New Roman" w:hAnsi="Times New Roman" w:cs="Times New Roman"/>
        </w:rPr>
        <w:t xml:space="preserve">. </w:t>
      </w:r>
      <w:r w:rsidR="00EB0DAF" w:rsidRPr="009146D0">
        <w:rPr>
          <w:rFonts w:ascii="Times New Roman" w:hAnsi="Times New Roman" w:cs="Times New Roman"/>
        </w:rPr>
        <w:t>Quy đị</w:t>
      </w:r>
      <w:r w:rsidR="00A51E14" w:rsidRPr="009146D0">
        <w:rPr>
          <w:rFonts w:ascii="Times New Roman" w:hAnsi="Times New Roman" w:cs="Times New Roman"/>
        </w:rPr>
        <w:t xml:space="preserve">nh này </w:t>
      </w:r>
      <w:r w:rsidR="00F84690" w:rsidRPr="009146D0">
        <w:rPr>
          <w:rFonts w:ascii="Times New Roman" w:hAnsi="Times New Roman" w:cs="Times New Roman"/>
        </w:rPr>
        <w:t xml:space="preserve">trước hết </w:t>
      </w:r>
      <w:r w:rsidR="00A51E14" w:rsidRPr="009146D0">
        <w:rPr>
          <w:rFonts w:ascii="Times New Roman" w:hAnsi="Times New Roman" w:cs="Times New Roman"/>
        </w:rPr>
        <w:t>nhằ</w:t>
      </w:r>
      <w:r w:rsidR="00EB0DAF" w:rsidRPr="009146D0">
        <w:rPr>
          <w:rFonts w:ascii="Times New Roman" w:hAnsi="Times New Roman" w:cs="Times New Roman"/>
        </w:rPr>
        <w:t>m tôn trọng quyền</w:t>
      </w:r>
      <w:r w:rsidR="00587F80" w:rsidRPr="009146D0">
        <w:rPr>
          <w:rFonts w:ascii="Times New Roman" w:hAnsi="Times New Roman" w:cs="Times New Roman"/>
        </w:rPr>
        <w:t xml:space="preserve"> quyết định và</w:t>
      </w:r>
      <w:r w:rsidR="00EB0DAF" w:rsidRPr="009146D0">
        <w:rPr>
          <w:rFonts w:ascii="Times New Roman" w:hAnsi="Times New Roman" w:cs="Times New Roman"/>
        </w:rPr>
        <w:t xml:space="preserve"> tự định đoạt của người </w:t>
      </w:r>
      <w:r w:rsidR="00F84690" w:rsidRPr="009146D0">
        <w:rPr>
          <w:rFonts w:ascii="Times New Roman" w:hAnsi="Times New Roman" w:cs="Times New Roman"/>
        </w:rPr>
        <w:t xml:space="preserve">đã </w:t>
      </w:r>
      <w:r w:rsidR="00EB0DAF" w:rsidRPr="009146D0">
        <w:rPr>
          <w:rFonts w:ascii="Times New Roman" w:hAnsi="Times New Roman" w:cs="Times New Roman"/>
        </w:rPr>
        <w:t>kháng cáo, đồng thời tạo điều kiện để người kháng cáo</w:t>
      </w:r>
      <w:r w:rsidR="00AC09F8" w:rsidRPr="009146D0">
        <w:rPr>
          <w:rFonts w:ascii="Times New Roman" w:hAnsi="Times New Roman" w:cs="Times New Roman"/>
        </w:rPr>
        <w:t xml:space="preserve"> khác, đương sự có liên quan đến kháng cáo </w:t>
      </w:r>
      <w:r w:rsidR="00EB0DAF" w:rsidRPr="009146D0">
        <w:rPr>
          <w:rFonts w:ascii="Times New Roman" w:hAnsi="Times New Roman" w:cs="Times New Roman"/>
        </w:rPr>
        <w:t>biết rõ thực trạng những nộ</w:t>
      </w:r>
      <w:r w:rsidR="00AC09F8" w:rsidRPr="009146D0">
        <w:rPr>
          <w:rFonts w:ascii="Times New Roman" w:hAnsi="Times New Roman" w:cs="Times New Roman"/>
        </w:rPr>
        <w:t xml:space="preserve">i dung kháng cáo để họ tổ chức phản biện, </w:t>
      </w:r>
      <w:r w:rsidR="00EB0DAF" w:rsidRPr="009146D0">
        <w:rPr>
          <w:rFonts w:ascii="Times New Roman" w:hAnsi="Times New Roman" w:cs="Times New Roman"/>
        </w:rPr>
        <w:t>qua đó bảo vệ quyền và lợi ích của mình. Mặt khác, việc giới hạn như vậ</w:t>
      </w:r>
      <w:r w:rsidR="00A51E14" w:rsidRPr="009146D0">
        <w:rPr>
          <w:rFonts w:ascii="Times New Roman" w:hAnsi="Times New Roman" w:cs="Times New Roman"/>
        </w:rPr>
        <w:t xml:space="preserve">y cũng có thể </w:t>
      </w:r>
      <w:r w:rsidR="00AC09F8" w:rsidRPr="009146D0">
        <w:rPr>
          <w:rFonts w:ascii="Times New Roman" w:hAnsi="Times New Roman" w:cs="Times New Roman"/>
        </w:rPr>
        <w:t xml:space="preserve">là cơ sở </w:t>
      </w:r>
      <w:r w:rsidR="00A51E14" w:rsidRPr="009146D0">
        <w:rPr>
          <w:rFonts w:ascii="Times New Roman" w:hAnsi="Times New Roman" w:cs="Times New Roman"/>
        </w:rPr>
        <w:t xml:space="preserve">để </w:t>
      </w:r>
      <w:r w:rsidR="002B19ED" w:rsidRPr="009146D0">
        <w:rPr>
          <w:rFonts w:ascii="Times New Roman" w:hAnsi="Times New Roman" w:cs="Times New Roman"/>
        </w:rPr>
        <w:t>toà</w:t>
      </w:r>
      <w:r w:rsidR="00A51E14" w:rsidRPr="009146D0">
        <w:rPr>
          <w:rFonts w:ascii="Times New Roman" w:hAnsi="Times New Roman" w:cs="Times New Roman"/>
        </w:rPr>
        <w:t xml:space="preserve"> án cấp phúc thẩm có sự chủ động</w:t>
      </w:r>
      <w:r w:rsidR="00AC09F8" w:rsidRPr="009146D0">
        <w:rPr>
          <w:rFonts w:ascii="Times New Roman" w:hAnsi="Times New Roman" w:cs="Times New Roman"/>
        </w:rPr>
        <w:t xml:space="preserve"> hơn</w:t>
      </w:r>
      <w:r w:rsidR="00A51E14" w:rsidRPr="009146D0">
        <w:rPr>
          <w:rFonts w:ascii="Times New Roman" w:hAnsi="Times New Roman" w:cs="Times New Roman"/>
        </w:rPr>
        <w:t xml:space="preserve"> khi xem xét giải quyết </w:t>
      </w:r>
      <w:r w:rsidR="00AC09F8" w:rsidRPr="009146D0">
        <w:rPr>
          <w:rFonts w:ascii="Times New Roman" w:hAnsi="Times New Roman" w:cs="Times New Roman"/>
        </w:rPr>
        <w:t xml:space="preserve">các </w:t>
      </w:r>
      <w:r w:rsidR="00A51E14" w:rsidRPr="009146D0">
        <w:rPr>
          <w:rFonts w:ascii="Times New Roman" w:hAnsi="Times New Roman" w:cs="Times New Roman"/>
        </w:rPr>
        <w:t>nội dung kháng cáo, nâng cao chất lượng của xét xử phúc thẩm vụ án hành chính</w:t>
      </w:r>
      <w:r w:rsidR="00587F80" w:rsidRPr="009146D0">
        <w:rPr>
          <w:rFonts w:ascii="Times New Roman" w:hAnsi="Times New Roman" w:cs="Times New Roman"/>
        </w:rPr>
        <w:t>.</w:t>
      </w:r>
    </w:p>
    <w:p w:rsidR="007C33E2" w:rsidRPr="009146D0" w:rsidRDefault="006F071A" w:rsidP="006F071A">
      <w:pPr>
        <w:pStyle w:val="ListParagraph"/>
        <w:widowControl w:val="0"/>
        <w:spacing w:line="276" w:lineRule="auto"/>
        <w:ind w:left="0" w:firstLine="369"/>
        <w:contextualSpacing w:val="0"/>
        <w:jc w:val="both"/>
        <w:rPr>
          <w:rFonts w:ascii="Times New Roman" w:hAnsi="Times New Roman" w:cs="Times New Roman"/>
        </w:rPr>
      </w:pPr>
      <w:r w:rsidRPr="009146D0">
        <w:rPr>
          <w:rFonts w:ascii="Times New Roman" w:hAnsi="Times New Roman" w:cs="Times New Roman"/>
        </w:rPr>
        <w:t xml:space="preserve">- </w:t>
      </w:r>
      <w:r w:rsidR="007C33E2" w:rsidRPr="009146D0">
        <w:rPr>
          <w:rFonts w:ascii="Times New Roman" w:hAnsi="Times New Roman" w:cs="Times New Roman"/>
        </w:rPr>
        <w:t>Về thủ tục thay đổi, bổ sung kháng cáo</w:t>
      </w:r>
    </w:p>
    <w:p w:rsidR="006E29B7" w:rsidRPr="009146D0" w:rsidRDefault="006E29B7" w:rsidP="006F071A">
      <w:pPr>
        <w:pStyle w:val="ListParagraph"/>
        <w:widowControl w:val="0"/>
        <w:spacing w:line="274" w:lineRule="auto"/>
        <w:ind w:left="0" w:firstLine="369"/>
        <w:contextualSpacing w:val="0"/>
        <w:jc w:val="both"/>
        <w:rPr>
          <w:rFonts w:ascii="Times New Roman" w:hAnsi="Times New Roman" w:cs="Times New Roman"/>
        </w:rPr>
      </w:pPr>
      <w:r w:rsidRPr="009146D0">
        <w:rPr>
          <w:rFonts w:ascii="Times New Roman" w:hAnsi="Times New Roman" w:cs="Times New Roman"/>
        </w:rPr>
        <w:t xml:space="preserve">Căn cứ khoản 4 Điều 218 Luật TTHC, việc thay đổi, bổ sung kháng cáo phải được thực hiện theo trình tự, thủ tục nhất định. Theo đó, ở thời điểm trước khi mở phiên </w:t>
      </w:r>
      <w:r w:rsidR="008540FE" w:rsidRPr="009146D0">
        <w:rPr>
          <w:rFonts w:ascii="Times New Roman" w:hAnsi="Times New Roman" w:cs="Times New Roman"/>
        </w:rPr>
        <w:t>toà</w:t>
      </w:r>
      <w:r w:rsidRPr="009146D0">
        <w:rPr>
          <w:rFonts w:ascii="Times New Roman" w:hAnsi="Times New Roman" w:cs="Times New Roman"/>
        </w:rPr>
        <w:t xml:space="preserve"> phúc thẩm, việc thay đổi, bổ sung kháng cáo phải được lập thành văn bản và phải được gửi cho </w:t>
      </w:r>
      <w:r w:rsidR="00ED688E" w:rsidRPr="009146D0">
        <w:rPr>
          <w:rFonts w:ascii="Times New Roman" w:hAnsi="Times New Roman" w:cs="Times New Roman"/>
        </w:rPr>
        <w:t xml:space="preserve">toà </w:t>
      </w:r>
      <w:r w:rsidRPr="009146D0">
        <w:rPr>
          <w:rFonts w:ascii="Times New Roman" w:hAnsi="Times New Roman" w:cs="Times New Roman"/>
        </w:rPr>
        <w:t>án cấp phúc thẩm.</w:t>
      </w:r>
      <w:r w:rsidR="00282DE4" w:rsidRPr="009146D0">
        <w:rPr>
          <w:rFonts w:ascii="Times New Roman" w:hAnsi="Times New Roman" w:cs="Times New Roman"/>
        </w:rPr>
        <w:t xml:space="preserve"> </w:t>
      </w:r>
      <w:r w:rsidR="00ED688E" w:rsidRPr="009146D0">
        <w:rPr>
          <w:rFonts w:ascii="Times New Roman" w:hAnsi="Times New Roman" w:cs="Times New Roman"/>
        </w:rPr>
        <w:t xml:space="preserve">Toà </w:t>
      </w:r>
      <w:r w:rsidRPr="009146D0">
        <w:rPr>
          <w:rFonts w:ascii="Times New Roman" w:hAnsi="Times New Roman" w:cs="Times New Roman"/>
        </w:rPr>
        <w:t>án cấp phúc thẩm phải thông báo cho các đương sự về việc thay đổi, bổ sung kháng cáo, thông báo cho</w:t>
      </w:r>
      <w:r w:rsidR="009953BB" w:rsidRPr="009146D0">
        <w:rPr>
          <w:rFonts w:ascii="Times New Roman" w:hAnsi="Times New Roman" w:cs="Times New Roman"/>
        </w:rPr>
        <w:t xml:space="preserve"> viện kiểm sát (</w:t>
      </w:r>
      <w:r w:rsidRPr="009146D0">
        <w:rPr>
          <w:rFonts w:ascii="Times New Roman" w:hAnsi="Times New Roman" w:cs="Times New Roman"/>
        </w:rPr>
        <w:t>VKS</w:t>
      </w:r>
      <w:r w:rsidR="009953BB" w:rsidRPr="009146D0">
        <w:rPr>
          <w:rFonts w:ascii="Times New Roman" w:hAnsi="Times New Roman" w:cs="Times New Roman"/>
        </w:rPr>
        <w:t>)</w:t>
      </w:r>
      <w:r w:rsidRPr="009146D0">
        <w:rPr>
          <w:rFonts w:ascii="Times New Roman" w:hAnsi="Times New Roman" w:cs="Times New Roman"/>
        </w:rPr>
        <w:t xml:space="preserve"> cùng cấp biết về việc thay đổi, bổ sung kháng cáo của đương sự</w:t>
      </w:r>
      <w:r w:rsidR="0049499E" w:rsidRPr="009146D0">
        <w:rPr>
          <w:rFonts w:ascii="Times New Roman" w:hAnsi="Times New Roman" w:cs="Times New Roman"/>
        </w:rPr>
        <w:t xml:space="preserve">. Tại phiên </w:t>
      </w:r>
      <w:r w:rsidR="008540FE" w:rsidRPr="009146D0">
        <w:rPr>
          <w:rFonts w:ascii="Times New Roman" w:hAnsi="Times New Roman" w:cs="Times New Roman"/>
        </w:rPr>
        <w:t>toà</w:t>
      </w:r>
      <w:r w:rsidR="0049499E" w:rsidRPr="009146D0">
        <w:rPr>
          <w:rFonts w:ascii="Times New Roman" w:hAnsi="Times New Roman" w:cs="Times New Roman"/>
        </w:rPr>
        <w:t xml:space="preserve">, việc thay đổi, bổ sung kháng cáo phải được ghi vào biên bản phiên </w:t>
      </w:r>
      <w:r w:rsidR="008540FE" w:rsidRPr="009146D0">
        <w:rPr>
          <w:rFonts w:ascii="Times New Roman" w:hAnsi="Times New Roman" w:cs="Times New Roman"/>
        </w:rPr>
        <w:t>toà</w:t>
      </w:r>
      <w:r w:rsidR="0049499E" w:rsidRPr="009146D0">
        <w:rPr>
          <w:rFonts w:ascii="Times New Roman" w:hAnsi="Times New Roman" w:cs="Times New Roman"/>
        </w:rPr>
        <w:t xml:space="preserve">. </w:t>
      </w:r>
      <w:r w:rsidR="00FD11B3" w:rsidRPr="009146D0">
        <w:rPr>
          <w:rFonts w:ascii="Times New Roman" w:hAnsi="Times New Roman" w:cs="Times New Roman"/>
        </w:rPr>
        <w:t>M</w:t>
      </w:r>
      <w:r w:rsidR="00D27A0B" w:rsidRPr="009146D0">
        <w:rPr>
          <w:rFonts w:ascii="Times New Roman" w:hAnsi="Times New Roman" w:cs="Times New Roman"/>
        </w:rPr>
        <w:t>ục đích của quy đị</w:t>
      </w:r>
      <w:r w:rsidR="00FE74F4" w:rsidRPr="009146D0">
        <w:rPr>
          <w:rFonts w:ascii="Times New Roman" w:hAnsi="Times New Roman" w:cs="Times New Roman"/>
        </w:rPr>
        <w:t>nh trên là</w:t>
      </w:r>
      <w:r w:rsidR="00D27A0B" w:rsidRPr="009146D0">
        <w:rPr>
          <w:rFonts w:ascii="Times New Roman" w:hAnsi="Times New Roman" w:cs="Times New Roman"/>
        </w:rPr>
        <w:t xml:space="preserve"> nhằm bảo đảm cho các đương sự trong vụ án, VKS cùng cấp nắm bắt được thông tin về các nội dung kháng cáo có bổ sung, thay đổi </w:t>
      </w:r>
      <w:r w:rsidR="00D27A0B" w:rsidRPr="009146D0">
        <w:rPr>
          <w:rFonts w:ascii="Times New Roman" w:hAnsi="Times New Roman" w:cs="Times New Roman"/>
        </w:rPr>
        <w:lastRenderedPageBreak/>
        <w:t xml:space="preserve">để họ có sự chủ động, chuẩn bị </w:t>
      </w:r>
      <w:r w:rsidR="00F025DB" w:rsidRPr="009146D0">
        <w:rPr>
          <w:rFonts w:ascii="Times New Roman" w:hAnsi="Times New Roman" w:cs="Times New Roman"/>
        </w:rPr>
        <w:t xml:space="preserve">kĩ lưỡng </w:t>
      </w:r>
      <w:r w:rsidR="00D27A0B" w:rsidRPr="009146D0">
        <w:rPr>
          <w:rFonts w:ascii="Times New Roman" w:hAnsi="Times New Roman" w:cs="Times New Roman"/>
        </w:rPr>
        <w:t>các tài liệu, chứng cứ, lập luậ</w:t>
      </w:r>
      <w:r w:rsidR="001946F4" w:rsidRPr="009146D0">
        <w:rPr>
          <w:rFonts w:ascii="Times New Roman" w:hAnsi="Times New Roman" w:cs="Times New Roman"/>
        </w:rPr>
        <w:t>n, lí</w:t>
      </w:r>
      <w:r w:rsidR="00D27A0B" w:rsidRPr="009146D0">
        <w:rPr>
          <w:rFonts w:ascii="Times New Roman" w:hAnsi="Times New Roman" w:cs="Times New Roman"/>
        </w:rPr>
        <w:t xml:space="preserve"> lẽ khi tham gia tranh tụng tại phiên </w:t>
      </w:r>
      <w:r w:rsidR="008540FE" w:rsidRPr="009146D0">
        <w:rPr>
          <w:rFonts w:ascii="Times New Roman" w:hAnsi="Times New Roman" w:cs="Times New Roman"/>
        </w:rPr>
        <w:t>toà</w:t>
      </w:r>
      <w:r w:rsidR="00D27A0B" w:rsidRPr="009146D0">
        <w:rPr>
          <w:rFonts w:ascii="Times New Roman" w:hAnsi="Times New Roman" w:cs="Times New Roman"/>
        </w:rPr>
        <w:t xml:space="preserve">, nâng cao chất lượng của xét xử. </w:t>
      </w:r>
    </w:p>
    <w:p w:rsidR="00331ACA" w:rsidRPr="009146D0" w:rsidRDefault="002C32BE" w:rsidP="006F071A">
      <w:pPr>
        <w:pStyle w:val="ListParagraph"/>
        <w:widowControl w:val="0"/>
        <w:spacing w:line="274" w:lineRule="auto"/>
        <w:ind w:left="0" w:firstLine="369"/>
        <w:contextualSpacing w:val="0"/>
        <w:jc w:val="both"/>
        <w:rPr>
          <w:rFonts w:ascii="Times New Roman" w:hAnsi="Times New Roman" w:cs="Times New Roman"/>
          <w:i/>
        </w:rPr>
      </w:pPr>
      <w:r w:rsidRPr="009146D0">
        <w:rPr>
          <w:rFonts w:ascii="Times New Roman" w:hAnsi="Times New Roman" w:cs="Times New Roman"/>
          <w:i/>
        </w:rPr>
        <w:t>1</w:t>
      </w:r>
      <w:r w:rsidR="002F2271" w:rsidRPr="009146D0">
        <w:rPr>
          <w:rFonts w:ascii="Times New Roman" w:hAnsi="Times New Roman" w:cs="Times New Roman"/>
          <w:i/>
        </w:rPr>
        <w:t>.2. Q</w:t>
      </w:r>
      <w:r w:rsidR="00331ACA" w:rsidRPr="009146D0">
        <w:rPr>
          <w:rFonts w:ascii="Times New Roman" w:hAnsi="Times New Roman" w:cs="Times New Roman"/>
          <w:i/>
        </w:rPr>
        <w:t xml:space="preserve">uy định của Luật </w:t>
      </w:r>
      <w:r w:rsidR="00892C56" w:rsidRPr="009146D0">
        <w:rPr>
          <w:rFonts w:ascii="Times New Roman" w:hAnsi="Times New Roman" w:cs="Times New Roman"/>
          <w:i/>
        </w:rPr>
        <w:t>Tố tụng hành chính</w:t>
      </w:r>
      <w:r w:rsidR="00331ACA" w:rsidRPr="009146D0">
        <w:rPr>
          <w:rFonts w:ascii="Times New Roman" w:hAnsi="Times New Roman" w:cs="Times New Roman"/>
          <w:i/>
        </w:rPr>
        <w:t xml:space="preserve"> về </w:t>
      </w:r>
      <w:r w:rsidR="000E7778" w:rsidRPr="009146D0">
        <w:rPr>
          <w:rFonts w:ascii="Times New Roman" w:hAnsi="Times New Roman" w:cs="Times New Roman"/>
          <w:i/>
        </w:rPr>
        <w:t xml:space="preserve">việc </w:t>
      </w:r>
      <w:r w:rsidR="00331ACA" w:rsidRPr="009146D0">
        <w:rPr>
          <w:rFonts w:ascii="Times New Roman" w:hAnsi="Times New Roman" w:cs="Times New Roman"/>
          <w:i/>
        </w:rPr>
        <w:t>rút kháng cáo</w:t>
      </w:r>
    </w:p>
    <w:p w:rsidR="005C34DC" w:rsidRPr="009146D0" w:rsidRDefault="00B52F86" w:rsidP="006F071A">
      <w:pPr>
        <w:widowControl w:val="0"/>
        <w:spacing w:line="274" w:lineRule="auto"/>
        <w:ind w:firstLine="369"/>
        <w:jc w:val="both"/>
        <w:rPr>
          <w:rFonts w:ascii="Times New Roman" w:hAnsi="Times New Roman" w:cs="Times New Roman"/>
        </w:rPr>
      </w:pPr>
      <w:r w:rsidRPr="009146D0">
        <w:rPr>
          <w:rFonts w:ascii="Times New Roman" w:hAnsi="Times New Roman" w:cs="Times New Roman"/>
        </w:rPr>
        <w:t>Theo từ điể</w:t>
      </w:r>
      <w:r w:rsidR="00892C56" w:rsidRPr="009146D0">
        <w:rPr>
          <w:rFonts w:ascii="Times New Roman" w:hAnsi="Times New Roman" w:cs="Times New Roman"/>
        </w:rPr>
        <w:t>n t</w:t>
      </w:r>
      <w:r w:rsidRPr="009146D0">
        <w:rPr>
          <w:rFonts w:ascii="Times New Roman" w:hAnsi="Times New Roman" w:cs="Times New Roman"/>
        </w:rPr>
        <w:t xml:space="preserve">iếng Việt phổ thông thì </w:t>
      </w:r>
      <w:r w:rsidRPr="009146D0">
        <w:rPr>
          <w:rFonts w:ascii="Times New Roman" w:hAnsi="Times New Roman" w:cs="Times New Roman"/>
          <w:i/>
          <w:iCs/>
        </w:rPr>
        <w:t>“rút”</w:t>
      </w:r>
      <w:r w:rsidRPr="009146D0">
        <w:rPr>
          <w:rFonts w:ascii="Times New Roman" w:hAnsi="Times New Roman" w:cs="Times New Roman"/>
        </w:rPr>
        <w:t xml:space="preserve"> là </w:t>
      </w:r>
      <w:r w:rsidRPr="009146D0">
        <w:rPr>
          <w:rFonts w:ascii="Times New Roman" w:hAnsi="Times New Roman" w:cs="Times New Roman"/>
          <w:i/>
          <w:iCs/>
        </w:rPr>
        <w:t>“lấy trở về, thu trở lại cái đã đưa ra”</w:t>
      </w:r>
      <w:r w:rsidRPr="009146D0">
        <w:rPr>
          <w:rStyle w:val="FootnoteReference"/>
          <w:rFonts w:ascii="Times New Roman" w:hAnsi="Times New Roman" w:cs="Times New Roman"/>
          <w:lang w:val="nl-NL"/>
        </w:rPr>
        <w:footnoteReference w:id="6"/>
      </w:r>
      <w:r w:rsidR="00011554" w:rsidRPr="009146D0">
        <w:rPr>
          <w:rFonts w:ascii="Times New Roman" w:hAnsi="Times New Roman" w:cs="Times New Roman"/>
        </w:rPr>
        <w:t xml:space="preserve"> và t</w:t>
      </w:r>
      <w:r w:rsidR="005C34DC" w:rsidRPr="009146D0">
        <w:rPr>
          <w:rFonts w:ascii="Times New Roman" w:hAnsi="Times New Roman" w:cs="Times New Roman"/>
        </w:rPr>
        <w:t>heo từ điể</w:t>
      </w:r>
      <w:r w:rsidR="00892C56" w:rsidRPr="009146D0">
        <w:rPr>
          <w:rFonts w:ascii="Times New Roman" w:hAnsi="Times New Roman" w:cs="Times New Roman"/>
        </w:rPr>
        <w:t>n L</w:t>
      </w:r>
      <w:r w:rsidR="005C34DC" w:rsidRPr="009146D0">
        <w:rPr>
          <w:rFonts w:ascii="Times New Roman" w:hAnsi="Times New Roman" w:cs="Times New Roman"/>
        </w:rPr>
        <w:t>uật học</w:t>
      </w:r>
      <w:r w:rsidR="00B71A74" w:rsidRPr="009146D0">
        <w:rPr>
          <w:rFonts w:ascii="Times New Roman" w:hAnsi="Times New Roman" w:cs="Times New Roman"/>
        </w:rPr>
        <w:t xml:space="preserve"> thì</w:t>
      </w:r>
      <w:r w:rsidRPr="009146D0">
        <w:rPr>
          <w:rFonts w:ascii="Times New Roman" w:hAnsi="Times New Roman" w:cs="Times New Roman"/>
          <w:i/>
          <w:iCs/>
        </w:rPr>
        <w:t xml:space="preserve">“rút </w:t>
      </w:r>
      <w:r w:rsidR="00B04BA8" w:rsidRPr="009146D0">
        <w:rPr>
          <w:rFonts w:ascii="Times New Roman" w:hAnsi="Times New Roman" w:cs="Times New Roman"/>
          <w:i/>
          <w:iCs/>
        </w:rPr>
        <w:t>kháng cáo</w:t>
      </w:r>
      <w:r w:rsidRPr="009146D0">
        <w:rPr>
          <w:rFonts w:ascii="Times New Roman" w:hAnsi="Times New Roman" w:cs="Times New Roman"/>
          <w:i/>
          <w:iCs/>
        </w:rPr>
        <w:t>”</w:t>
      </w:r>
      <w:r w:rsidR="00892C56" w:rsidRPr="009146D0">
        <w:rPr>
          <w:rStyle w:val="FootnoteReference"/>
          <w:rFonts w:ascii="Times New Roman" w:hAnsi="Times New Roman" w:cs="Times New Roman"/>
          <w:lang w:val="nl-NL"/>
        </w:rPr>
        <w:footnoteReference w:id="7"/>
      </w:r>
      <w:r w:rsidRPr="009146D0">
        <w:rPr>
          <w:rFonts w:ascii="Times New Roman" w:hAnsi="Times New Roman" w:cs="Times New Roman"/>
        </w:rPr>
        <w:t xml:space="preserve"> </w:t>
      </w:r>
      <w:r w:rsidR="006270AC" w:rsidRPr="009146D0">
        <w:rPr>
          <w:rFonts w:ascii="Times New Roman" w:hAnsi="Times New Roman" w:cs="Times New Roman"/>
        </w:rPr>
        <w:t xml:space="preserve">được hiểu </w:t>
      </w:r>
      <w:r w:rsidRPr="009146D0">
        <w:rPr>
          <w:rFonts w:ascii="Times New Roman" w:hAnsi="Times New Roman" w:cs="Times New Roman"/>
        </w:rPr>
        <w:t xml:space="preserve">là việc </w:t>
      </w:r>
      <w:r w:rsidR="00B04BA8" w:rsidRPr="009146D0">
        <w:rPr>
          <w:rFonts w:ascii="Times New Roman" w:hAnsi="Times New Roman" w:cs="Times New Roman"/>
        </w:rPr>
        <w:t>người kháng cáo</w:t>
      </w:r>
      <w:r w:rsidRPr="009146D0">
        <w:rPr>
          <w:rFonts w:ascii="Times New Roman" w:hAnsi="Times New Roman" w:cs="Times New Roman"/>
        </w:rPr>
        <w:t xml:space="preserve"> </w:t>
      </w:r>
      <w:r w:rsidR="00B71A74" w:rsidRPr="009146D0">
        <w:rPr>
          <w:rFonts w:ascii="Times New Roman" w:hAnsi="Times New Roman" w:cs="Times New Roman"/>
        </w:rPr>
        <w:t xml:space="preserve">thu lại </w:t>
      </w:r>
      <w:r w:rsidRPr="009146D0">
        <w:rPr>
          <w:rFonts w:ascii="Times New Roman" w:hAnsi="Times New Roman" w:cs="Times New Roman"/>
        </w:rPr>
        <w:t xml:space="preserve">một phần hoặc toàn bộ </w:t>
      </w:r>
      <w:r w:rsidR="00B04BA8" w:rsidRPr="009146D0">
        <w:rPr>
          <w:rFonts w:ascii="Times New Roman" w:hAnsi="Times New Roman" w:cs="Times New Roman"/>
        </w:rPr>
        <w:t>các kháng cáo</w:t>
      </w:r>
      <w:r w:rsidR="006270AC" w:rsidRPr="009146D0">
        <w:rPr>
          <w:rFonts w:ascii="Times New Roman" w:hAnsi="Times New Roman" w:cs="Times New Roman"/>
        </w:rPr>
        <w:t xml:space="preserve"> đã đưa ra</w:t>
      </w:r>
      <w:r w:rsidR="00986422" w:rsidRPr="009146D0">
        <w:rPr>
          <w:rFonts w:ascii="Times New Roman" w:hAnsi="Times New Roman" w:cs="Times New Roman"/>
        </w:rPr>
        <w:t>.</w:t>
      </w:r>
      <w:r w:rsidR="001A7150" w:rsidRPr="009146D0">
        <w:rPr>
          <w:rFonts w:ascii="Times New Roman" w:hAnsi="Times New Roman" w:cs="Times New Roman"/>
        </w:rPr>
        <w:t xml:space="preserve"> </w:t>
      </w:r>
      <w:r w:rsidR="00011554" w:rsidRPr="009146D0">
        <w:rPr>
          <w:rFonts w:ascii="Times New Roman" w:hAnsi="Times New Roman" w:cs="Times New Roman"/>
        </w:rPr>
        <w:t xml:space="preserve">Từ đó, có thể hiểu </w:t>
      </w:r>
      <w:r w:rsidR="00011554" w:rsidRPr="009146D0">
        <w:rPr>
          <w:rFonts w:ascii="Times New Roman" w:hAnsi="Times New Roman" w:cs="Times New Roman"/>
          <w:iCs/>
        </w:rPr>
        <w:t>“rút kháng cáo”</w:t>
      </w:r>
      <w:r w:rsidR="00011554" w:rsidRPr="009146D0">
        <w:rPr>
          <w:rFonts w:ascii="Times New Roman" w:hAnsi="Times New Roman" w:cs="Times New Roman"/>
        </w:rPr>
        <w:t xml:space="preserve"> là việc người đã kháng cáo thu lại </w:t>
      </w:r>
      <w:r w:rsidR="00986422" w:rsidRPr="009146D0">
        <w:rPr>
          <w:rFonts w:ascii="Times New Roman" w:hAnsi="Times New Roman" w:cs="Times New Roman"/>
        </w:rPr>
        <w:t>một hoặc toàn bộ các yêu cầu</w:t>
      </w:r>
      <w:r w:rsidR="00011554" w:rsidRPr="009146D0">
        <w:rPr>
          <w:rFonts w:ascii="Times New Roman" w:hAnsi="Times New Roman" w:cs="Times New Roman"/>
        </w:rPr>
        <w:t xml:space="preserve"> kháng cáo mà mình đã đưa ra</w:t>
      </w:r>
      <w:r w:rsidR="00041242" w:rsidRPr="009146D0">
        <w:rPr>
          <w:rFonts w:ascii="Times New Roman" w:hAnsi="Times New Roman" w:cs="Times New Roman"/>
        </w:rPr>
        <w:t xml:space="preserve"> ở thời điểm ban đầu</w:t>
      </w:r>
      <w:r w:rsidR="00011554" w:rsidRPr="009146D0">
        <w:rPr>
          <w:rFonts w:ascii="Times New Roman" w:hAnsi="Times New Roman" w:cs="Times New Roman"/>
        </w:rPr>
        <w:t>.</w:t>
      </w:r>
    </w:p>
    <w:p w:rsidR="005307AD" w:rsidRPr="009146D0" w:rsidRDefault="001A7150" w:rsidP="006F071A">
      <w:pPr>
        <w:widowControl w:val="0"/>
        <w:spacing w:line="274" w:lineRule="auto"/>
        <w:ind w:firstLine="369"/>
        <w:jc w:val="both"/>
        <w:rPr>
          <w:rFonts w:ascii="Times New Roman" w:hAnsi="Times New Roman" w:cs="Times New Roman"/>
        </w:rPr>
      </w:pPr>
      <w:r w:rsidRPr="009146D0">
        <w:rPr>
          <w:rFonts w:ascii="Times New Roman" w:hAnsi="Times New Roman" w:cs="Times New Roman"/>
        </w:rPr>
        <w:t>Hiện tại</w:t>
      </w:r>
      <w:r w:rsidR="00273043" w:rsidRPr="009146D0">
        <w:rPr>
          <w:rFonts w:ascii="Times New Roman" w:hAnsi="Times New Roman" w:cs="Times New Roman"/>
        </w:rPr>
        <w:t>,</w:t>
      </w:r>
      <w:r w:rsidRPr="009146D0">
        <w:rPr>
          <w:rFonts w:ascii="Times New Roman" w:hAnsi="Times New Roman" w:cs="Times New Roman"/>
        </w:rPr>
        <w:t xml:space="preserve"> việc rút kháng cáo được quy định </w:t>
      </w:r>
      <w:r w:rsidR="00D22056" w:rsidRPr="009146D0">
        <w:rPr>
          <w:rFonts w:ascii="Times New Roman" w:hAnsi="Times New Roman" w:cs="Times New Roman"/>
        </w:rPr>
        <w:t xml:space="preserve">rải rác </w:t>
      </w:r>
      <w:r w:rsidRPr="009146D0">
        <w:rPr>
          <w:rFonts w:ascii="Times New Roman" w:hAnsi="Times New Roman" w:cs="Times New Roman"/>
        </w:rPr>
        <w:t xml:space="preserve">tại </w:t>
      </w:r>
      <w:r w:rsidR="00273043" w:rsidRPr="009146D0">
        <w:rPr>
          <w:rFonts w:ascii="Times New Roman" w:hAnsi="Times New Roman" w:cs="Times New Roman"/>
        </w:rPr>
        <w:t xml:space="preserve">một số điểm, khoản, điều khác nhau như </w:t>
      </w:r>
      <w:r w:rsidRPr="009146D0">
        <w:rPr>
          <w:rFonts w:ascii="Times New Roman" w:hAnsi="Times New Roman" w:cs="Times New Roman"/>
        </w:rPr>
        <w:t>khoản 3 Điều 218</w:t>
      </w:r>
      <w:r w:rsidR="004E52F3" w:rsidRPr="009146D0">
        <w:rPr>
          <w:rFonts w:ascii="Times New Roman" w:hAnsi="Times New Roman" w:cs="Times New Roman"/>
        </w:rPr>
        <w:t>;</w:t>
      </w:r>
      <w:r w:rsidRPr="009146D0">
        <w:rPr>
          <w:rFonts w:ascii="Times New Roman" w:hAnsi="Times New Roman" w:cs="Times New Roman"/>
        </w:rPr>
        <w:t xml:space="preserve"> điểm c khoản 1</w:t>
      </w:r>
      <w:r w:rsidR="00BC69E1" w:rsidRPr="009146D0">
        <w:rPr>
          <w:rFonts w:ascii="Times New Roman" w:hAnsi="Times New Roman" w:cs="Times New Roman"/>
        </w:rPr>
        <w:t xml:space="preserve"> và</w:t>
      </w:r>
      <w:r w:rsidRPr="009146D0">
        <w:rPr>
          <w:rFonts w:ascii="Times New Roman" w:hAnsi="Times New Roman" w:cs="Times New Roman"/>
        </w:rPr>
        <w:t xml:space="preserve"> khoản 2, 3 Điều 229</w:t>
      </w:r>
      <w:r w:rsidR="004E52F3" w:rsidRPr="009146D0">
        <w:rPr>
          <w:rFonts w:ascii="Times New Roman" w:hAnsi="Times New Roman" w:cs="Times New Roman"/>
        </w:rPr>
        <w:t>;</w:t>
      </w:r>
      <w:r w:rsidR="00003C5A" w:rsidRPr="009146D0">
        <w:rPr>
          <w:rFonts w:ascii="Times New Roman" w:hAnsi="Times New Roman" w:cs="Times New Roman"/>
        </w:rPr>
        <w:t xml:space="preserve"> khoản 4 Điều </w:t>
      </w:r>
      <w:r w:rsidR="004744C3" w:rsidRPr="009146D0">
        <w:rPr>
          <w:rFonts w:ascii="Times New Roman" w:hAnsi="Times New Roman" w:cs="Times New Roman"/>
        </w:rPr>
        <w:t>233</w:t>
      </w:r>
      <w:r w:rsidR="000855D3" w:rsidRPr="009146D0">
        <w:rPr>
          <w:rFonts w:ascii="Times New Roman" w:hAnsi="Times New Roman" w:cs="Times New Roman"/>
        </w:rPr>
        <w:t xml:space="preserve"> Luật TTHC. Căn cứ vào các điều khoản này, chúng ta thấy việc người đã kháng cáo rút kháng cáo được thực hiệ</w:t>
      </w:r>
      <w:r w:rsidR="005C34DC" w:rsidRPr="009146D0">
        <w:rPr>
          <w:rFonts w:ascii="Times New Roman" w:hAnsi="Times New Roman" w:cs="Times New Roman"/>
        </w:rPr>
        <w:t>n theo cách thức</w:t>
      </w:r>
      <w:r w:rsidR="000855D3" w:rsidRPr="009146D0">
        <w:rPr>
          <w:rFonts w:ascii="Times New Roman" w:hAnsi="Times New Roman" w:cs="Times New Roman"/>
        </w:rPr>
        <w:t xml:space="preserve"> rút một phần hoặc rút toàn bộ kháng cáo ở thời điểm trước khi bắt đầu phiên </w:t>
      </w:r>
      <w:r w:rsidR="008540FE" w:rsidRPr="009146D0">
        <w:rPr>
          <w:rFonts w:ascii="Times New Roman" w:hAnsi="Times New Roman" w:cs="Times New Roman"/>
        </w:rPr>
        <w:t>toà</w:t>
      </w:r>
      <w:r w:rsidR="000855D3" w:rsidRPr="009146D0">
        <w:rPr>
          <w:rFonts w:ascii="Times New Roman" w:hAnsi="Times New Roman" w:cs="Times New Roman"/>
        </w:rPr>
        <w:t xml:space="preserve"> và tại phiên </w:t>
      </w:r>
      <w:r w:rsidR="008540FE" w:rsidRPr="009146D0">
        <w:rPr>
          <w:rFonts w:ascii="Times New Roman" w:hAnsi="Times New Roman" w:cs="Times New Roman"/>
        </w:rPr>
        <w:t>toà</w:t>
      </w:r>
      <w:r w:rsidR="000855D3" w:rsidRPr="009146D0">
        <w:rPr>
          <w:rFonts w:ascii="Times New Roman" w:hAnsi="Times New Roman" w:cs="Times New Roman"/>
        </w:rPr>
        <w:t xml:space="preserve"> phúc thẩm. Đặc biệt, việc rút kháng cáo một phầ</w:t>
      </w:r>
      <w:r w:rsidR="00844019" w:rsidRPr="009146D0">
        <w:rPr>
          <w:rFonts w:ascii="Times New Roman" w:hAnsi="Times New Roman" w:cs="Times New Roman"/>
        </w:rPr>
        <w:t>n và</w:t>
      </w:r>
      <w:r w:rsidR="000855D3" w:rsidRPr="009146D0">
        <w:rPr>
          <w:rFonts w:ascii="Times New Roman" w:hAnsi="Times New Roman" w:cs="Times New Roman"/>
        </w:rPr>
        <w:t xml:space="preserve"> </w:t>
      </w:r>
      <w:r w:rsidR="00064807" w:rsidRPr="009146D0">
        <w:rPr>
          <w:rFonts w:ascii="Times New Roman" w:hAnsi="Times New Roman" w:cs="Times New Roman"/>
        </w:rPr>
        <w:t xml:space="preserve">rút kháng cáo </w:t>
      </w:r>
      <w:r w:rsidR="000855D3" w:rsidRPr="009146D0">
        <w:rPr>
          <w:rFonts w:ascii="Times New Roman" w:hAnsi="Times New Roman" w:cs="Times New Roman"/>
        </w:rPr>
        <w:t xml:space="preserve">toàn bộ có những hậu quả pháp </w:t>
      </w:r>
      <w:r w:rsidR="004E52F3" w:rsidRPr="009146D0">
        <w:rPr>
          <w:rFonts w:ascii="Times New Roman" w:hAnsi="Times New Roman" w:cs="Times New Roman"/>
        </w:rPr>
        <w:t xml:space="preserve">lí </w:t>
      </w:r>
      <w:r w:rsidR="00080B23" w:rsidRPr="009146D0">
        <w:rPr>
          <w:rFonts w:ascii="Times New Roman" w:hAnsi="Times New Roman" w:cs="Times New Roman"/>
        </w:rPr>
        <w:t>không giống nhau</w:t>
      </w:r>
      <w:r w:rsidR="000855D3" w:rsidRPr="009146D0">
        <w:rPr>
          <w:rFonts w:ascii="Times New Roman" w:hAnsi="Times New Roman" w:cs="Times New Roman"/>
        </w:rPr>
        <w:t>:</w:t>
      </w:r>
    </w:p>
    <w:p w:rsidR="005307AD" w:rsidRPr="009146D0" w:rsidRDefault="004E52F3" w:rsidP="006F071A">
      <w:pPr>
        <w:widowControl w:val="0"/>
        <w:spacing w:line="274" w:lineRule="auto"/>
        <w:ind w:firstLine="369"/>
        <w:jc w:val="both"/>
        <w:rPr>
          <w:rFonts w:ascii="Times New Roman" w:hAnsi="Times New Roman" w:cs="Times New Roman"/>
        </w:rPr>
      </w:pPr>
      <w:r w:rsidRPr="009146D0">
        <w:rPr>
          <w:rFonts w:ascii="Times New Roman" w:hAnsi="Times New Roman" w:cs="Times New Roman"/>
        </w:rPr>
        <w:t>Trường hợp thứ nhất</w:t>
      </w:r>
      <w:r w:rsidR="00524003" w:rsidRPr="009146D0">
        <w:rPr>
          <w:rFonts w:ascii="Times New Roman" w:hAnsi="Times New Roman" w:cs="Times New Roman"/>
        </w:rPr>
        <w:t>:</w:t>
      </w:r>
      <w:r w:rsidRPr="009146D0">
        <w:rPr>
          <w:rFonts w:ascii="Times New Roman" w:hAnsi="Times New Roman" w:cs="Times New Roman"/>
        </w:rPr>
        <w:t xml:space="preserve"> n</w:t>
      </w:r>
      <w:r w:rsidR="000855D3" w:rsidRPr="009146D0">
        <w:rPr>
          <w:rFonts w:ascii="Times New Roman" w:hAnsi="Times New Roman" w:cs="Times New Roman"/>
        </w:rPr>
        <w:t>gười kháng cáo rút một phần kháng cáo</w:t>
      </w:r>
      <w:r w:rsidR="004744C3" w:rsidRPr="009146D0">
        <w:rPr>
          <w:rFonts w:ascii="Times New Roman" w:hAnsi="Times New Roman" w:cs="Times New Roman"/>
        </w:rPr>
        <w:t xml:space="preserve"> </w:t>
      </w:r>
      <w:r w:rsidR="00DC223B" w:rsidRPr="009146D0">
        <w:rPr>
          <w:rFonts w:ascii="Times New Roman" w:hAnsi="Times New Roman" w:cs="Times New Roman"/>
        </w:rPr>
        <w:t xml:space="preserve">(khoản 3 Điều 218, </w:t>
      </w:r>
      <w:r w:rsidR="00DC223B" w:rsidRPr="009146D0">
        <w:rPr>
          <w:rFonts w:ascii="Times New Roman" w:hAnsi="Times New Roman" w:cs="Times New Roman"/>
          <w:spacing w:val="-4"/>
        </w:rPr>
        <w:t>khoản 3 Điều 229 Luật TTHC)</w:t>
      </w:r>
      <w:r w:rsidR="00367C1D" w:rsidRPr="009146D0">
        <w:rPr>
          <w:rFonts w:ascii="Times New Roman" w:hAnsi="Times New Roman" w:cs="Times New Roman"/>
          <w:spacing w:val="-4"/>
        </w:rPr>
        <w:t xml:space="preserve">. </w:t>
      </w:r>
      <w:r w:rsidR="003A0B8D" w:rsidRPr="009146D0">
        <w:rPr>
          <w:rFonts w:ascii="Times New Roman" w:hAnsi="Times New Roman" w:cs="Times New Roman"/>
          <w:spacing w:val="-4"/>
        </w:rPr>
        <w:t>Đây là trường</w:t>
      </w:r>
      <w:r w:rsidR="003A0B8D" w:rsidRPr="009146D0">
        <w:rPr>
          <w:rFonts w:ascii="Times New Roman" w:hAnsi="Times New Roman" w:cs="Times New Roman"/>
        </w:rPr>
        <w:t xml:space="preserve"> hợp, </w:t>
      </w:r>
      <w:r w:rsidR="00D947CB" w:rsidRPr="009146D0">
        <w:rPr>
          <w:rFonts w:ascii="Times New Roman" w:hAnsi="Times New Roman" w:cs="Times New Roman"/>
        </w:rPr>
        <w:t>người kháng cáo đưa ra nhiều nội dung kháng cáo</w:t>
      </w:r>
      <w:r w:rsidR="002E3100" w:rsidRPr="009146D0">
        <w:rPr>
          <w:rFonts w:ascii="Times New Roman" w:hAnsi="Times New Roman" w:cs="Times New Roman"/>
        </w:rPr>
        <w:t xml:space="preserve"> và đã</w:t>
      </w:r>
      <w:r w:rsidR="00D947CB" w:rsidRPr="009146D0">
        <w:rPr>
          <w:rFonts w:ascii="Times New Roman" w:hAnsi="Times New Roman" w:cs="Times New Roman"/>
        </w:rPr>
        <w:t xml:space="preserve"> quyết định rút bớt một phần</w:t>
      </w:r>
      <w:r w:rsidR="006F65F0" w:rsidRPr="009146D0">
        <w:rPr>
          <w:rFonts w:ascii="Times New Roman" w:hAnsi="Times New Roman" w:cs="Times New Roman"/>
        </w:rPr>
        <w:t xml:space="preserve"> hoặc một số phần trong tổng thể các nội dung</w:t>
      </w:r>
      <w:r w:rsidR="00D947CB" w:rsidRPr="009146D0">
        <w:rPr>
          <w:rFonts w:ascii="Times New Roman" w:hAnsi="Times New Roman" w:cs="Times New Roman"/>
        </w:rPr>
        <w:t xml:space="preserve"> kháng</w:t>
      </w:r>
      <w:r w:rsidR="004178F6" w:rsidRPr="009146D0">
        <w:rPr>
          <w:rFonts w:ascii="Times New Roman" w:hAnsi="Times New Roman" w:cs="Times New Roman"/>
        </w:rPr>
        <w:t xml:space="preserve"> cáo</w:t>
      </w:r>
      <w:r w:rsidR="00D947CB" w:rsidRPr="009146D0">
        <w:rPr>
          <w:rFonts w:ascii="Times New Roman" w:hAnsi="Times New Roman" w:cs="Times New Roman"/>
        </w:rPr>
        <w:t xml:space="preserve"> ban đầu</w:t>
      </w:r>
      <w:r w:rsidR="00322E4A" w:rsidRPr="009146D0">
        <w:rPr>
          <w:rFonts w:ascii="Times New Roman" w:hAnsi="Times New Roman" w:cs="Times New Roman"/>
        </w:rPr>
        <w:t xml:space="preserve"> và giữ lại một số kháng cáo</w:t>
      </w:r>
      <w:r w:rsidR="002E3100" w:rsidRPr="009146D0">
        <w:rPr>
          <w:rFonts w:ascii="Times New Roman" w:hAnsi="Times New Roman" w:cs="Times New Roman"/>
        </w:rPr>
        <w:t xml:space="preserve"> để</w:t>
      </w:r>
      <w:r w:rsidR="00322E4A" w:rsidRPr="009146D0">
        <w:rPr>
          <w:rFonts w:ascii="Times New Roman" w:hAnsi="Times New Roman" w:cs="Times New Roman"/>
        </w:rPr>
        <w:t xml:space="preserve"> tiếp tục yêu cầu </w:t>
      </w:r>
      <w:r w:rsidR="00EE41F8" w:rsidRPr="009146D0">
        <w:rPr>
          <w:rFonts w:ascii="Times New Roman" w:hAnsi="Times New Roman" w:cs="Times New Roman"/>
        </w:rPr>
        <w:t>t</w:t>
      </w:r>
      <w:r w:rsidR="008540FE" w:rsidRPr="009146D0">
        <w:rPr>
          <w:rFonts w:ascii="Times New Roman" w:hAnsi="Times New Roman" w:cs="Times New Roman"/>
        </w:rPr>
        <w:t>oà</w:t>
      </w:r>
      <w:r w:rsidR="00322E4A" w:rsidRPr="009146D0">
        <w:rPr>
          <w:rFonts w:ascii="Times New Roman" w:hAnsi="Times New Roman" w:cs="Times New Roman"/>
        </w:rPr>
        <w:t xml:space="preserve"> án cấp </w:t>
      </w:r>
      <w:r w:rsidR="00322E4A" w:rsidRPr="009146D0">
        <w:rPr>
          <w:rFonts w:ascii="Times New Roman" w:hAnsi="Times New Roman" w:cs="Times New Roman"/>
        </w:rPr>
        <w:lastRenderedPageBreak/>
        <w:t>phúc thẩm để giải quyết</w:t>
      </w:r>
      <w:r w:rsidR="00844019" w:rsidRPr="009146D0">
        <w:rPr>
          <w:rFonts w:ascii="Times New Roman" w:hAnsi="Times New Roman" w:cs="Times New Roman"/>
        </w:rPr>
        <w:t xml:space="preserve">. </w:t>
      </w:r>
      <w:r w:rsidR="00844019" w:rsidRPr="009146D0">
        <w:rPr>
          <w:rFonts w:ascii="Times New Roman" w:hAnsi="Times New Roman" w:cs="Times New Roman"/>
          <w:i/>
        </w:rPr>
        <w:t xml:space="preserve">Ví dụ: </w:t>
      </w:r>
      <w:r w:rsidR="00322183" w:rsidRPr="009146D0">
        <w:rPr>
          <w:rFonts w:ascii="Times New Roman" w:hAnsi="Times New Roman" w:cs="Times New Roman"/>
        </w:rPr>
        <w:t xml:space="preserve">bà Đào Thị T bị </w:t>
      </w:r>
      <w:r w:rsidR="00593D94" w:rsidRPr="009146D0">
        <w:rPr>
          <w:rFonts w:ascii="Times New Roman" w:hAnsi="Times New Roman" w:cs="Times New Roman"/>
        </w:rPr>
        <w:t>toà</w:t>
      </w:r>
      <w:r w:rsidR="00ED2B67" w:rsidRPr="009146D0">
        <w:rPr>
          <w:rFonts w:ascii="Times New Roman" w:hAnsi="Times New Roman" w:cs="Times New Roman"/>
        </w:rPr>
        <w:t xml:space="preserve"> </w:t>
      </w:r>
      <w:r w:rsidR="00322183" w:rsidRPr="009146D0">
        <w:rPr>
          <w:rFonts w:ascii="Times New Roman" w:hAnsi="Times New Roman" w:cs="Times New Roman"/>
        </w:rPr>
        <w:t xml:space="preserve">án tuyên hủy các yêu cầu sau: </w:t>
      </w:r>
      <w:r w:rsidR="00ED2B67" w:rsidRPr="009146D0">
        <w:rPr>
          <w:rFonts w:ascii="Times New Roman" w:hAnsi="Times New Roman" w:cs="Times New Roman"/>
        </w:rPr>
        <w:t>Y</w:t>
      </w:r>
      <w:r w:rsidR="00322183" w:rsidRPr="009146D0">
        <w:rPr>
          <w:rFonts w:ascii="Times New Roman" w:hAnsi="Times New Roman" w:cs="Times New Roman"/>
        </w:rPr>
        <w:t>êu cầu số</w:t>
      </w:r>
      <w:r w:rsidR="00387814" w:rsidRPr="009146D0">
        <w:rPr>
          <w:rFonts w:ascii="Times New Roman" w:hAnsi="Times New Roman" w:cs="Times New Roman"/>
        </w:rPr>
        <w:t xml:space="preserve"> 01</w:t>
      </w:r>
      <w:r w:rsidR="00ED2B67" w:rsidRPr="009146D0">
        <w:rPr>
          <w:rFonts w:ascii="Times New Roman" w:hAnsi="Times New Roman" w:cs="Times New Roman"/>
        </w:rPr>
        <w:t>:</w:t>
      </w:r>
      <w:r w:rsidR="00387814" w:rsidRPr="009146D0">
        <w:rPr>
          <w:rFonts w:ascii="Times New Roman" w:hAnsi="Times New Roman" w:cs="Times New Roman"/>
        </w:rPr>
        <w:t xml:space="preserve"> đ</w:t>
      </w:r>
      <w:r w:rsidR="00322183" w:rsidRPr="009146D0">
        <w:rPr>
          <w:rFonts w:ascii="Times New Roman" w:hAnsi="Times New Roman" w:cs="Times New Roman"/>
        </w:rPr>
        <w:t xml:space="preserve">ề nghị </w:t>
      </w:r>
      <w:r w:rsidR="008540FE" w:rsidRPr="009146D0">
        <w:rPr>
          <w:rFonts w:ascii="Times New Roman" w:hAnsi="Times New Roman" w:cs="Times New Roman"/>
        </w:rPr>
        <w:t>Toà</w:t>
      </w:r>
      <w:r w:rsidR="00322183" w:rsidRPr="009146D0">
        <w:rPr>
          <w:rFonts w:ascii="Times New Roman" w:hAnsi="Times New Roman" w:cs="Times New Roman"/>
        </w:rPr>
        <w:t xml:space="preserve"> án tuyên hủy</w:t>
      </w:r>
      <w:r w:rsidR="00AF1445" w:rsidRPr="009146D0">
        <w:rPr>
          <w:rFonts w:ascii="Times New Roman" w:hAnsi="Times New Roman" w:cs="Times New Roman"/>
        </w:rPr>
        <w:t xml:space="preserve"> Quyết định số</w:t>
      </w:r>
      <w:r w:rsidR="002973A2" w:rsidRPr="009146D0">
        <w:rPr>
          <w:rFonts w:ascii="Times New Roman" w:hAnsi="Times New Roman" w:cs="Times New Roman"/>
        </w:rPr>
        <w:t xml:space="preserve"> 1206/QĐ-</w:t>
      </w:r>
      <w:r w:rsidR="00322183" w:rsidRPr="009146D0">
        <w:rPr>
          <w:rFonts w:ascii="Times New Roman" w:hAnsi="Times New Roman" w:cs="Times New Roman"/>
        </w:rPr>
        <w:t xml:space="preserve">UBND ngày 22/12/2010 của UBND thị xã S về việc </w:t>
      </w:r>
      <w:r w:rsidR="00AF1445" w:rsidRPr="009146D0">
        <w:rPr>
          <w:rFonts w:ascii="Times New Roman" w:hAnsi="Times New Roman" w:cs="Times New Roman"/>
        </w:rPr>
        <w:t xml:space="preserve">phê duyệt kinh phí </w:t>
      </w:r>
      <w:r w:rsidR="00322183" w:rsidRPr="009146D0">
        <w:rPr>
          <w:rFonts w:ascii="Times New Roman" w:hAnsi="Times New Roman" w:cs="Times New Roman"/>
        </w:rPr>
        <w:t>hỗ trợ di chuyển mồ mả</w:t>
      </w:r>
      <w:r w:rsidR="00ED2B67" w:rsidRPr="009146D0">
        <w:rPr>
          <w:rFonts w:ascii="Times New Roman" w:hAnsi="Times New Roman" w:cs="Times New Roman"/>
        </w:rPr>
        <w:t>; yêu</w:t>
      </w:r>
      <w:r w:rsidR="00322183" w:rsidRPr="009146D0">
        <w:rPr>
          <w:rFonts w:ascii="Times New Roman" w:hAnsi="Times New Roman" w:cs="Times New Roman"/>
        </w:rPr>
        <w:t xml:space="preserve"> cầu số </w:t>
      </w:r>
      <w:r w:rsidR="00387814" w:rsidRPr="009146D0">
        <w:rPr>
          <w:rFonts w:ascii="Times New Roman" w:hAnsi="Times New Roman" w:cs="Times New Roman"/>
        </w:rPr>
        <w:t>0</w:t>
      </w:r>
      <w:r w:rsidR="00322183" w:rsidRPr="009146D0">
        <w:rPr>
          <w:rFonts w:ascii="Times New Roman" w:hAnsi="Times New Roman" w:cs="Times New Roman"/>
        </w:rPr>
        <w:t>2</w:t>
      </w:r>
      <w:r w:rsidR="00ED2B67" w:rsidRPr="009146D0">
        <w:rPr>
          <w:rFonts w:ascii="Times New Roman" w:hAnsi="Times New Roman" w:cs="Times New Roman"/>
        </w:rPr>
        <w:t>:</w:t>
      </w:r>
      <w:r w:rsidR="00322183" w:rsidRPr="009146D0">
        <w:rPr>
          <w:rFonts w:ascii="Times New Roman" w:hAnsi="Times New Roman" w:cs="Times New Roman"/>
        </w:rPr>
        <w:t xml:space="preserve"> đề nghị </w:t>
      </w:r>
      <w:r w:rsidR="008540FE" w:rsidRPr="009146D0">
        <w:rPr>
          <w:rFonts w:ascii="Times New Roman" w:hAnsi="Times New Roman" w:cs="Times New Roman"/>
        </w:rPr>
        <w:t>Toà</w:t>
      </w:r>
      <w:r w:rsidR="00322183" w:rsidRPr="009146D0">
        <w:rPr>
          <w:rFonts w:ascii="Times New Roman" w:hAnsi="Times New Roman" w:cs="Times New Roman"/>
        </w:rPr>
        <w:t xml:space="preserve"> án tuyên hủy </w:t>
      </w:r>
      <w:r w:rsidR="00AF1445" w:rsidRPr="009146D0">
        <w:rPr>
          <w:rFonts w:ascii="Times New Roman" w:hAnsi="Times New Roman" w:cs="Times New Roman"/>
        </w:rPr>
        <w:t>Quyết định số 2002/QĐ-UBND của UBND thị xã S về việc thu hồi 1.935,3 m</w:t>
      </w:r>
      <w:r w:rsidR="00AF1445" w:rsidRPr="009146D0">
        <w:rPr>
          <w:rFonts w:ascii="Times New Roman" w:hAnsi="Times New Roman" w:cs="Times New Roman"/>
          <w:vertAlign w:val="superscript"/>
        </w:rPr>
        <w:t>2</w:t>
      </w:r>
      <w:r w:rsidR="00AF1445" w:rsidRPr="009146D0">
        <w:rPr>
          <w:rFonts w:ascii="Times New Roman" w:hAnsi="Times New Roman" w:cs="Times New Roman"/>
        </w:rPr>
        <w:t xml:space="preserve"> đất ở và trồng cây lâu năm</w:t>
      </w:r>
      <w:r w:rsidR="00ED2B67" w:rsidRPr="009146D0">
        <w:rPr>
          <w:rFonts w:ascii="Times New Roman" w:hAnsi="Times New Roman" w:cs="Times New Roman"/>
        </w:rPr>
        <w:t>; yêu</w:t>
      </w:r>
      <w:r w:rsidR="00AF1445" w:rsidRPr="009146D0">
        <w:rPr>
          <w:rFonts w:ascii="Times New Roman" w:hAnsi="Times New Roman" w:cs="Times New Roman"/>
        </w:rPr>
        <w:t xml:space="preserve"> cầu số 03</w:t>
      </w:r>
      <w:r w:rsidR="00ED2B67" w:rsidRPr="009146D0">
        <w:rPr>
          <w:rFonts w:ascii="Times New Roman" w:hAnsi="Times New Roman" w:cs="Times New Roman"/>
        </w:rPr>
        <w:t>:</w:t>
      </w:r>
      <w:r w:rsidR="00AF1445" w:rsidRPr="009146D0">
        <w:rPr>
          <w:rFonts w:ascii="Times New Roman" w:hAnsi="Times New Roman" w:cs="Times New Roman"/>
        </w:rPr>
        <w:t xml:space="preserve"> đề nghị </w:t>
      </w:r>
      <w:r w:rsidR="008540FE" w:rsidRPr="009146D0">
        <w:rPr>
          <w:rFonts w:ascii="Times New Roman" w:hAnsi="Times New Roman" w:cs="Times New Roman"/>
        </w:rPr>
        <w:t>Toà</w:t>
      </w:r>
      <w:r w:rsidR="00AF1445" w:rsidRPr="009146D0">
        <w:rPr>
          <w:rFonts w:ascii="Times New Roman" w:hAnsi="Times New Roman" w:cs="Times New Roman"/>
        </w:rPr>
        <w:t xml:space="preserve"> án tuyên hủy Quyết định số</w:t>
      </w:r>
      <w:r w:rsidR="002973A2" w:rsidRPr="009146D0">
        <w:rPr>
          <w:rFonts w:ascii="Times New Roman" w:hAnsi="Times New Roman" w:cs="Times New Roman"/>
        </w:rPr>
        <w:t xml:space="preserve"> 542/QĐ-</w:t>
      </w:r>
      <w:r w:rsidR="00AF1445" w:rsidRPr="009146D0">
        <w:rPr>
          <w:rFonts w:ascii="Times New Roman" w:hAnsi="Times New Roman" w:cs="Times New Roman"/>
        </w:rPr>
        <w:t>UBND ngày 25/4/2013 của Chủ tịch UBND thị xã S về việc giải quyết khiếu nại của bà Đào Thị</w:t>
      </w:r>
      <w:r w:rsidR="00ED2B67" w:rsidRPr="009146D0">
        <w:rPr>
          <w:rFonts w:ascii="Times New Roman" w:hAnsi="Times New Roman" w:cs="Times New Roman"/>
        </w:rPr>
        <w:t xml:space="preserve"> T. Ngày 22/12/2022 bà Đào T</w:t>
      </w:r>
      <w:r w:rsidR="00AF1445" w:rsidRPr="009146D0">
        <w:rPr>
          <w:rFonts w:ascii="Times New Roman" w:hAnsi="Times New Roman" w:cs="Times New Roman"/>
        </w:rPr>
        <w:t xml:space="preserve">hị T kháng cáo đề nghị </w:t>
      </w:r>
      <w:r w:rsidR="008540FE" w:rsidRPr="009146D0">
        <w:rPr>
          <w:rFonts w:ascii="Times New Roman" w:hAnsi="Times New Roman" w:cs="Times New Roman"/>
        </w:rPr>
        <w:t>Toà</w:t>
      </w:r>
      <w:r w:rsidR="00AF1445" w:rsidRPr="009146D0">
        <w:rPr>
          <w:rFonts w:ascii="Times New Roman" w:hAnsi="Times New Roman" w:cs="Times New Roman"/>
        </w:rPr>
        <w:t xml:space="preserve"> án phúc thẩm sửa bản án sơ thẩm chấp nhận cả 3 yêu cầu trên của bà. Tuy nhiên, tại phiên </w:t>
      </w:r>
      <w:r w:rsidR="008540FE" w:rsidRPr="009146D0">
        <w:rPr>
          <w:rFonts w:ascii="Times New Roman" w:hAnsi="Times New Roman" w:cs="Times New Roman"/>
        </w:rPr>
        <w:t>toà</w:t>
      </w:r>
      <w:r w:rsidR="00AF1445" w:rsidRPr="009146D0">
        <w:rPr>
          <w:rFonts w:ascii="Times New Roman" w:hAnsi="Times New Roman" w:cs="Times New Roman"/>
        </w:rPr>
        <w:t xml:space="preserve"> phúc thẩm, bà Đào Thị T rút yêu cầu kháng cáo đối với </w:t>
      </w:r>
      <w:r w:rsidR="00892E71" w:rsidRPr="009146D0">
        <w:rPr>
          <w:rFonts w:ascii="Times New Roman" w:hAnsi="Times New Roman" w:cs="Times New Roman"/>
        </w:rPr>
        <w:t xml:space="preserve">yêu cầu số 1 và Hội đồng xét xử </w:t>
      </w:r>
      <w:r w:rsidR="00B967FA" w:rsidRPr="009146D0">
        <w:rPr>
          <w:rFonts w:ascii="Times New Roman" w:hAnsi="Times New Roman" w:cs="Times New Roman"/>
        </w:rPr>
        <w:t xml:space="preserve">(HĐXX) </w:t>
      </w:r>
      <w:r w:rsidR="00892E71" w:rsidRPr="009146D0">
        <w:rPr>
          <w:rFonts w:ascii="Times New Roman" w:hAnsi="Times New Roman" w:cs="Times New Roman"/>
        </w:rPr>
        <w:t>phúc thẩm đã đình chỉ xét xử phúc thẩm đối với yêu cầu số 1 và tiếp tục giải quyết các yêu cầu kháng cáo còn lại</w:t>
      </w:r>
      <w:r w:rsidR="00C91B3D" w:rsidRPr="009146D0">
        <w:rPr>
          <w:rStyle w:val="FootnoteReference"/>
          <w:rFonts w:ascii="Times New Roman" w:hAnsi="Times New Roman" w:cs="Times New Roman"/>
          <w:lang w:val="nl-NL"/>
        </w:rPr>
        <w:footnoteReference w:id="8"/>
      </w:r>
      <w:r w:rsidR="003E7091" w:rsidRPr="009146D0">
        <w:rPr>
          <w:rFonts w:ascii="Times New Roman" w:hAnsi="Times New Roman" w:cs="Times New Roman"/>
        </w:rPr>
        <w:t xml:space="preserve">. </w:t>
      </w:r>
      <w:r w:rsidR="00D22056" w:rsidRPr="009146D0">
        <w:rPr>
          <w:rFonts w:ascii="Times New Roman" w:hAnsi="Times New Roman" w:cs="Times New Roman"/>
        </w:rPr>
        <w:t>Qua ví dụ này, rõ ràng việc đình chỉ xét xử phúc thẩm đối với phần mà người kháng cáo rút là nhằm</w:t>
      </w:r>
      <w:r w:rsidR="003E7091" w:rsidRPr="009146D0">
        <w:rPr>
          <w:rFonts w:ascii="Times New Roman" w:hAnsi="Times New Roman" w:cs="Times New Roman"/>
        </w:rPr>
        <w:t xml:space="preserve"> tôn trọng quyền tự định đoạt của người đã kháng cáo và bảo đảm tính chính xác</w:t>
      </w:r>
      <w:r w:rsidR="00F00E6B" w:rsidRPr="009146D0">
        <w:rPr>
          <w:rFonts w:ascii="Times New Roman" w:hAnsi="Times New Roman" w:cs="Times New Roman"/>
        </w:rPr>
        <w:t>, trọng tâm</w:t>
      </w:r>
      <w:r w:rsidR="003E7091" w:rsidRPr="009146D0">
        <w:rPr>
          <w:rFonts w:ascii="Times New Roman" w:hAnsi="Times New Roman" w:cs="Times New Roman"/>
        </w:rPr>
        <w:t xml:space="preserve"> </w:t>
      </w:r>
      <w:r w:rsidR="00F00E6B" w:rsidRPr="009146D0">
        <w:rPr>
          <w:rFonts w:ascii="Times New Roman" w:hAnsi="Times New Roman" w:cs="Times New Roman"/>
        </w:rPr>
        <w:t>của</w:t>
      </w:r>
      <w:r w:rsidR="003E7091" w:rsidRPr="009146D0">
        <w:rPr>
          <w:rFonts w:ascii="Times New Roman" w:hAnsi="Times New Roman" w:cs="Times New Roman"/>
        </w:rPr>
        <w:t xml:space="preserve"> xét xử</w:t>
      </w:r>
      <w:r w:rsidR="00F00E6B" w:rsidRPr="009146D0">
        <w:rPr>
          <w:rFonts w:ascii="Times New Roman" w:hAnsi="Times New Roman" w:cs="Times New Roman"/>
        </w:rPr>
        <w:t xml:space="preserve"> phúc thẩm</w:t>
      </w:r>
      <w:r w:rsidR="00D947CB" w:rsidRPr="009146D0">
        <w:rPr>
          <w:rFonts w:ascii="Times New Roman" w:hAnsi="Times New Roman" w:cs="Times New Roman"/>
        </w:rPr>
        <w:t>.</w:t>
      </w:r>
      <w:r w:rsidR="003A0B8D" w:rsidRPr="009146D0">
        <w:rPr>
          <w:rFonts w:ascii="Times New Roman" w:hAnsi="Times New Roman" w:cs="Times New Roman"/>
        </w:rPr>
        <w:t xml:space="preserve"> </w:t>
      </w:r>
      <w:r w:rsidR="00D22056" w:rsidRPr="009146D0">
        <w:rPr>
          <w:rFonts w:ascii="Times New Roman" w:hAnsi="Times New Roman" w:cs="Times New Roman"/>
        </w:rPr>
        <w:t>Mặt khác cần lưu ý</w:t>
      </w:r>
      <w:r w:rsidR="005E05DF" w:rsidRPr="009146D0">
        <w:rPr>
          <w:rFonts w:ascii="Times New Roman" w:hAnsi="Times New Roman" w:cs="Times New Roman"/>
        </w:rPr>
        <w:t>, việc rút một phần kháng cáo không làm chấm dứt hoàn toàn việc xét xử phúc thẩ</w:t>
      </w:r>
      <w:r w:rsidR="009F153A" w:rsidRPr="009146D0">
        <w:rPr>
          <w:rFonts w:ascii="Times New Roman" w:hAnsi="Times New Roman" w:cs="Times New Roman"/>
        </w:rPr>
        <w:t>m.</w:t>
      </w:r>
    </w:p>
    <w:p w:rsidR="001C2184" w:rsidRPr="009146D0" w:rsidRDefault="00177089"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t>Trường hợp thứ 2: n</w:t>
      </w:r>
      <w:r w:rsidR="00367C1D" w:rsidRPr="009146D0">
        <w:rPr>
          <w:rFonts w:ascii="Times New Roman" w:hAnsi="Times New Roman" w:cs="Times New Roman"/>
        </w:rPr>
        <w:t xml:space="preserve">gười kháng cáo rút toàn bộ kháng cáo. </w:t>
      </w:r>
      <w:r w:rsidR="00D947CB" w:rsidRPr="009146D0">
        <w:rPr>
          <w:rFonts w:ascii="Times New Roman" w:hAnsi="Times New Roman" w:cs="Times New Roman"/>
        </w:rPr>
        <w:t xml:space="preserve">Thực chất, điểm diễn giải này không thuộc phạm vi quy định tại Điều 218 mà thuộc sự </w:t>
      </w:r>
      <w:r w:rsidR="005E05DF" w:rsidRPr="009146D0">
        <w:rPr>
          <w:rFonts w:ascii="Times New Roman" w:hAnsi="Times New Roman" w:cs="Times New Roman"/>
        </w:rPr>
        <w:t>điều chỉnh</w:t>
      </w:r>
      <w:r w:rsidR="00D947CB" w:rsidRPr="009146D0">
        <w:rPr>
          <w:rFonts w:ascii="Times New Roman" w:hAnsi="Times New Roman" w:cs="Times New Roman"/>
        </w:rPr>
        <w:t xml:space="preserve"> của điểm c khoản 1 và khoản 2 Điều 229 Luật TTHC. Người đã kháng cáo rút toàn bộ kháng cáo được hiểu là họ đưa ra bao nhiêu nội dung </w:t>
      </w:r>
      <w:r w:rsidR="00D947CB" w:rsidRPr="009146D0">
        <w:rPr>
          <w:rFonts w:ascii="Times New Roman" w:hAnsi="Times New Roman" w:cs="Times New Roman"/>
        </w:rPr>
        <w:lastRenderedPageBreak/>
        <w:t>kháng cáo thì họ sẽ thu hồi tất cả các nội dung kháng cáo đó, không giữ lại bất k</w:t>
      </w:r>
      <w:r w:rsidR="00524003" w:rsidRPr="009146D0">
        <w:rPr>
          <w:rFonts w:ascii="Times New Roman" w:hAnsi="Times New Roman" w:cs="Times New Roman"/>
        </w:rPr>
        <w:t>ì</w:t>
      </w:r>
      <w:r w:rsidR="005E05DF" w:rsidRPr="009146D0">
        <w:rPr>
          <w:rFonts w:ascii="Times New Roman" w:hAnsi="Times New Roman" w:cs="Times New Roman"/>
        </w:rPr>
        <w:t xml:space="preserve"> kháng cáo nào</w:t>
      </w:r>
      <w:r w:rsidR="00756736" w:rsidRPr="009146D0">
        <w:rPr>
          <w:rStyle w:val="FootnoteReference"/>
          <w:rFonts w:ascii="Times New Roman" w:hAnsi="Times New Roman" w:cs="Times New Roman"/>
          <w:lang w:val="nl-NL"/>
        </w:rPr>
        <w:footnoteReference w:id="9"/>
      </w:r>
      <w:r w:rsidR="002F6E87" w:rsidRPr="009146D0">
        <w:rPr>
          <w:rFonts w:ascii="Times New Roman" w:hAnsi="Times New Roman" w:cs="Times New Roman"/>
        </w:rPr>
        <w:t>. Nói cách khác,</w:t>
      </w:r>
      <w:r w:rsidR="005E05DF" w:rsidRPr="009146D0">
        <w:rPr>
          <w:rFonts w:ascii="Times New Roman" w:hAnsi="Times New Roman" w:cs="Times New Roman"/>
        </w:rPr>
        <w:t xml:space="preserve"> họ đã từ bỏ tất cả</w:t>
      </w:r>
      <w:r w:rsidR="002F6E87" w:rsidRPr="009146D0">
        <w:rPr>
          <w:rFonts w:ascii="Times New Roman" w:hAnsi="Times New Roman" w:cs="Times New Roman"/>
        </w:rPr>
        <w:t xml:space="preserve"> các kháng cáo đã đưa ra và không tiếp tục yêu cầu </w:t>
      </w:r>
      <w:r w:rsidR="00FE27FE" w:rsidRPr="009146D0">
        <w:rPr>
          <w:rFonts w:ascii="Times New Roman" w:hAnsi="Times New Roman" w:cs="Times New Roman"/>
        </w:rPr>
        <w:t xml:space="preserve">toà </w:t>
      </w:r>
      <w:r w:rsidR="002F6E87" w:rsidRPr="009146D0">
        <w:rPr>
          <w:rFonts w:ascii="Times New Roman" w:hAnsi="Times New Roman" w:cs="Times New Roman"/>
        </w:rPr>
        <w:t>án cấp phúc thẩm xét xử các kháng cáo đó.</w:t>
      </w:r>
      <w:r w:rsidR="000E7778" w:rsidRPr="009146D0">
        <w:rPr>
          <w:rFonts w:ascii="Times New Roman" w:hAnsi="Times New Roman" w:cs="Times New Roman"/>
        </w:rPr>
        <w:t xml:space="preserve"> Trong trường hợp này, </w:t>
      </w:r>
      <w:r w:rsidR="00FE27FE" w:rsidRPr="009146D0">
        <w:rPr>
          <w:rFonts w:ascii="Times New Roman" w:hAnsi="Times New Roman" w:cs="Times New Roman"/>
        </w:rPr>
        <w:t>toà</w:t>
      </w:r>
      <w:r w:rsidR="000E7778" w:rsidRPr="009146D0">
        <w:rPr>
          <w:rFonts w:ascii="Times New Roman" w:hAnsi="Times New Roman" w:cs="Times New Roman"/>
        </w:rPr>
        <w:t xml:space="preserve"> án sẽ đình chỉ xét xử toàn bộ các kháng cáo đã rút theo ý chí định đoạt của người kháng cáo.</w:t>
      </w:r>
      <w:r w:rsidR="00EA4168" w:rsidRPr="009146D0">
        <w:rPr>
          <w:rFonts w:ascii="Times New Roman" w:hAnsi="Times New Roman" w:cs="Times New Roman"/>
        </w:rPr>
        <w:t xml:space="preserve"> </w:t>
      </w:r>
      <w:r w:rsidR="00350517" w:rsidRPr="009146D0">
        <w:rPr>
          <w:rFonts w:ascii="Times New Roman" w:hAnsi="Times New Roman" w:cs="Times New Roman"/>
        </w:rPr>
        <w:t>Tuy nhiên</w:t>
      </w:r>
      <w:r w:rsidR="00EA4168" w:rsidRPr="009146D0">
        <w:rPr>
          <w:rFonts w:ascii="Times New Roman" w:hAnsi="Times New Roman" w:cs="Times New Roman"/>
        </w:rPr>
        <w:t xml:space="preserve">, cần lưu ý, </w:t>
      </w:r>
      <w:r w:rsidR="00B34E4C" w:rsidRPr="009146D0">
        <w:rPr>
          <w:rFonts w:ascii="Times New Roman" w:hAnsi="Times New Roman" w:cs="Times New Roman"/>
        </w:rPr>
        <w:t>tuỳ</w:t>
      </w:r>
      <w:r w:rsidR="00EA4168" w:rsidRPr="009146D0">
        <w:rPr>
          <w:rFonts w:ascii="Times New Roman" w:hAnsi="Times New Roman" w:cs="Times New Roman"/>
        </w:rPr>
        <w:t xml:space="preserve"> </w:t>
      </w:r>
      <w:r w:rsidR="00AD2E4B" w:rsidRPr="009146D0">
        <w:rPr>
          <w:rFonts w:ascii="Times New Roman" w:hAnsi="Times New Roman" w:cs="Times New Roman"/>
        </w:rPr>
        <w:t xml:space="preserve">từng </w:t>
      </w:r>
      <w:r w:rsidR="00EA4168" w:rsidRPr="009146D0">
        <w:rPr>
          <w:rFonts w:ascii="Times New Roman" w:hAnsi="Times New Roman" w:cs="Times New Roman"/>
        </w:rPr>
        <w:t xml:space="preserve">vụ án, </w:t>
      </w:r>
      <w:r w:rsidR="00312964" w:rsidRPr="009146D0">
        <w:rPr>
          <w:rFonts w:ascii="Times New Roman" w:hAnsi="Times New Roman" w:cs="Times New Roman"/>
        </w:rPr>
        <w:t>t</w:t>
      </w:r>
      <w:r w:rsidR="008540FE" w:rsidRPr="009146D0">
        <w:rPr>
          <w:rFonts w:ascii="Times New Roman" w:hAnsi="Times New Roman" w:cs="Times New Roman"/>
        </w:rPr>
        <w:t>oà</w:t>
      </w:r>
      <w:r w:rsidR="00EA4168" w:rsidRPr="009146D0">
        <w:rPr>
          <w:rFonts w:ascii="Times New Roman" w:hAnsi="Times New Roman" w:cs="Times New Roman"/>
        </w:rPr>
        <w:t xml:space="preserve"> án sẽ có cách thức xử </w:t>
      </w:r>
      <w:r w:rsidR="00B34E4C" w:rsidRPr="009146D0">
        <w:rPr>
          <w:rFonts w:ascii="Times New Roman" w:hAnsi="Times New Roman" w:cs="Times New Roman"/>
        </w:rPr>
        <w:t xml:space="preserve">lí </w:t>
      </w:r>
      <w:r w:rsidR="00EA4168" w:rsidRPr="009146D0">
        <w:rPr>
          <w:rFonts w:ascii="Times New Roman" w:hAnsi="Times New Roman" w:cs="Times New Roman"/>
        </w:rPr>
        <w:t>hậu quả pháp l</w:t>
      </w:r>
      <w:r w:rsidR="00B34E4C" w:rsidRPr="009146D0">
        <w:rPr>
          <w:rFonts w:ascii="Times New Roman" w:hAnsi="Times New Roman" w:cs="Times New Roman"/>
        </w:rPr>
        <w:t>í</w:t>
      </w:r>
      <w:r w:rsidR="00897811" w:rsidRPr="009146D0">
        <w:rPr>
          <w:rFonts w:ascii="Times New Roman" w:hAnsi="Times New Roman" w:cs="Times New Roman"/>
        </w:rPr>
        <w:t xml:space="preserve"> </w:t>
      </w:r>
      <w:r w:rsidR="00EA4168" w:rsidRPr="009146D0">
        <w:rPr>
          <w:rFonts w:ascii="Times New Roman" w:hAnsi="Times New Roman" w:cs="Times New Roman"/>
        </w:rPr>
        <w:t xml:space="preserve">khi người kháng cáo rút toàn bộ kháng cáo </w:t>
      </w:r>
      <w:r w:rsidR="00F21181" w:rsidRPr="009146D0">
        <w:rPr>
          <w:rFonts w:ascii="Times New Roman" w:hAnsi="Times New Roman" w:cs="Times New Roman"/>
        </w:rPr>
        <w:t>là khác nhau. Nếu vụ án</w:t>
      </w:r>
      <w:r w:rsidR="00AD2E4B" w:rsidRPr="009146D0">
        <w:rPr>
          <w:rFonts w:ascii="Times New Roman" w:hAnsi="Times New Roman" w:cs="Times New Roman"/>
        </w:rPr>
        <w:t xml:space="preserve"> vừa có các kháng cáo, vừa </w:t>
      </w:r>
      <w:r w:rsidR="00F21181" w:rsidRPr="009146D0">
        <w:rPr>
          <w:rFonts w:ascii="Times New Roman" w:hAnsi="Times New Roman" w:cs="Times New Roman"/>
        </w:rPr>
        <w:t xml:space="preserve">có sự kháng nghị của VKS mà có đương sự rút toàn bộ kháng cáo thì </w:t>
      </w:r>
      <w:r w:rsidR="0043768C" w:rsidRPr="009146D0">
        <w:rPr>
          <w:rFonts w:ascii="Times New Roman" w:hAnsi="Times New Roman" w:cs="Times New Roman"/>
        </w:rPr>
        <w:t>t</w:t>
      </w:r>
      <w:r w:rsidR="008540FE" w:rsidRPr="009146D0">
        <w:rPr>
          <w:rFonts w:ascii="Times New Roman" w:hAnsi="Times New Roman" w:cs="Times New Roman"/>
        </w:rPr>
        <w:t>oà</w:t>
      </w:r>
      <w:r w:rsidR="00F21181" w:rsidRPr="009146D0">
        <w:rPr>
          <w:rFonts w:ascii="Times New Roman" w:hAnsi="Times New Roman" w:cs="Times New Roman"/>
        </w:rPr>
        <w:t xml:space="preserve"> án chỉ đình chỉ xét xử phúc thẩm phần kháng cáo bị rút trong bản án phúc thẩ</w:t>
      </w:r>
      <w:r w:rsidR="00387814" w:rsidRPr="009146D0">
        <w:rPr>
          <w:rFonts w:ascii="Times New Roman" w:hAnsi="Times New Roman" w:cs="Times New Roman"/>
        </w:rPr>
        <w:t>m mà</w:t>
      </w:r>
      <w:r w:rsidR="00F21181" w:rsidRPr="009146D0">
        <w:rPr>
          <w:rFonts w:ascii="Times New Roman" w:hAnsi="Times New Roman" w:cs="Times New Roman"/>
        </w:rPr>
        <w:t xml:space="preserve"> không ra quyết định đình chỉ xét xử phúc thẩm toàn bộ vụ án. Bởi vì lúc này </w:t>
      </w:r>
      <w:r w:rsidR="0043768C" w:rsidRPr="009146D0">
        <w:rPr>
          <w:rFonts w:ascii="Times New Roman" w:hAnsi="Times New Roman" w:cs="Times New Roman"/>
        </w:rPr>
        <w:t>t</w:t>
      </w:r>
      <w:r w:rsidR="008540FE" w:rsidRPr="009146D0">
        <w:rPr>
          <w:rFonts w:ascii="Times New Roman" w:hAnsi="Times New Roman" w:cs="Times New Roman"/>
        </w:rPr>
        <w:t>oà</w:t>
      </w:r>
      <w:r w:rsidR="00F21181" w:rsidRPr="009146D0">
        <w:rPr>
          <w:rFonts w:ascii="Times New Roman" w:hAnsi="Times New Roman" w:cs="Times New Roman"/>
        </w:rPr>
        <w:t xml:space="preserve"> án vẫn phải tiếp tục giải quyết các kháng cáo khác và cả kháng nghị của VKS. Nếu vụ án chỉ có đương sự kháng cáo và tất cả các đương sự đều rút hết các nội dung kháng cáo thì </w:t>
      </w:r>
      <w:r w:rsidR="00425762" w:rsidRPr="009146D0">
        <w:rPr>
          <w:rFonts w:ascii="Times New Roman" w:hAnsi="Times New Roman" w:cs="Times New Roman"/>
        </w:rPr>
        <w:t>t</w:t>
      </w:r>
      <w:r w:rsidR="008540FE" w:rsidRPr="009146D0">
        <w:rPr>
          <w:rFonts w:ascii="Times New Roman" w:hAnsi="Times New Roman" w:cs="Times New Roman"/>
        </w:rPr>
        <w:t>oà</w:t>
      </w:r>
      <w:r w:rsidR="00F21181" w:rsidRPr="009146D0">
        <w:rPr>
          <w:rFonts w:ascii="Times New Roman" w:hAnsi="Times New Roman" w:cs="Times New Roman"/>
        </w:rPr>
        <w:t xml:space="preserve"> án sẽ ra quyết định đình chỉ xét xử phúc thẩm toàn bộ vụ án</w:t>
      </w:r>
      <w:r w:rsidR="00B9356A" w:rsidRPr="009146D0">
        <w:rPr>
          <w:rFonts w:ascii="Times New Roman" w:hAnsi="Times New Roman" w:cs="Times New Roman"/>
        </w:rPr>
        <w:t xml:space="preserve">, lúc này hiệu lực của bản án, phần của bản án, quyết định sơ thẩm bị kháng cáo sẽ phát sinh hiệu lực pháp luật. </w:t>
      </w:r>
    </w:p>
    <w:p w:rsidR="000855D3" w:rsidRPr="009146D0" w:rsidRDefault="002973A2"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t>Về t</w:t>
      </w:r>
      <w:r w:rsidR="009D41F5" w:rsidRPr="009146D0">
        <w:rPr>
          <w:rFonts w:ascii="Times New Roman" w:hAnsi="Times New Roman" w:cs="Times New Roman"/>
        </w:rPr>
        <w:t>hời điểm</w:t>
      </w:r>
      <w:r w:rsidR="00020EBE" w:rsidRPr="009146D0">
        <w:rPr>
          <w:rFonts w:ascii="Times New Roman" w:hAnsi="Times New Roman" w:cs="Times New Roman"/>
        </w:rPr>
        <w:t>,</w:t>
      </w:r>
      <w:r w:rsidR="0081784A" w:rsidRPr="009146D0">
        <w:rPr>
          <w:rFonts w:ascii="Times New Roman" w:hAnsi="Times New Roman" w:cs="Times New Roman"/>
        </w:rPr>
        <w:t xml:space="preserve"> trình tự, thủ tục </w:t>
      </w:r>
      <w:r w:rsidR="00322E4A" w:rsidRPr="009146D0">
        <w:rPr>
          <w:rFonts w:ascii="Times New Roman" w:hAnsi="Times New Roman" w:cs="Times New Roman"/>
        </w:rPr>
        <w:t>rút kháng cáo</w:t>
      </w:r>
      <w:r w:rsidR="00020EBE" w:rsidRPr="009146D0">
        <w:rPr>
          <w:rFonts w:ascii="Times New Roman" w:hAnsi="Times New Roman" w:cs="Times New Roman"/>
        </w:rPr>
        <w:t xml:space="preserve"> và thẩm quyền đình chỉ xét xử phúc thẩm khi rút kháng cáo</w:t>
      </w:r>
      <w:r w:rsidRPr="009146D0">
        <w:rPr>
          <w:rFonts w:ascii="Times New Roman" w:hAnsi="Times New Roman" w:cs="Times New Roman"/>
        </w:rPr>
        <w:t>:</w:t>
      </w:r>
    </w:p>
    <w:p w:rsidR="00504672" w:rsidRPr="009146D0" w:rsidRDefault="00D13A10"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i/>
        </w:rPr>
        <w:t xml:space="preserve">Thứ nhất, </w:t>
      </w:r>
      <w:r w:rsidR="00504672" w:rsidRPr="009146D0">
        <w:rPr>
          <w:rFonts w:ascii="Times New Roman" w:hAnsi="Times New Roman" w:cs="Times New Roman"/>
        </w:rPr>
        <w:t>về thời điể</w:t>
      </w:r>
      <w:r w:rsidR="001D30A7" w:rsidRPr="009146D0">
        <w:rPr>
          <w:rFonts w:ascii="Times New Roman" w:hAnsi="Times New Roman" w:cs="Times New Roman"/>
        </w:rPr>
        <w:t>m rút kháng cáo</w:t>
      </w:r>
      <w:r w:rsidRPr="009146D0">
        <w:rPr>
          <w:rFonts w:ascii="Times New Roman" w:hAnsi="Times New Roman" w:cs="Times New Roman"/>
        </w:rPr>
        <w:t>. Đ</w:t>
      </w:r>
      <w:r w:rsidR="001D30A7" w:rsidRPr="009146D0">
        <w:rPr>
          <w:rFonts w:ascii="Times New Roman" w:hAnsi="Times New Roman" w:cs="Times New Roman"/>
        </w:rPr>
        <w:t>ây là phần</w:t>
      </w:r>
      <w:r w:rsidR="00504672" w:rsidRPr="009146D0">
        <w:rPr>
          <w:rFonts w:ascii="Times New Roman" w:hAnsi="Times New Roman" w:cs="Times New Roman"/>
        </w:rPr>
        <w:t xml:space="preserve"> có sự khác biệt cơ bản với việc thay đổi, bổ sung kháng cáo. Trong khi việc thay đổi, bổ sung kháng cáo</w:t>
      </w:r>
      <w:r w:rsidR="00AE1654" w:rsidRPr="009146D0">
        <w:rPr>
          <w:rFonts w:ascii="Times New Roman" w:hAnsi="Times New Roman" w:cs="Times New Roman"/>
        </w:rPr>
        <w:t xml:space="preserve"> phải đáp ứng các điều kiện cụ thể tại khoản 2 Điều 218 Luật TTHC và </w:t>
      </w:r>
      <w:r w:rsidR="001D30A7" w:rsidRPr="009146D0">
        <w:rPr>
          <w:rFonts w:ascii="Times New Roman" w:hAnsi="Times New Roman" w:cs="Times New Roman"/>
        </w:rPr>
        <w:t xml:space="preserve">được thực hiện ở ba thời </w:t>
      </w:r>
      <w:r w:rsidR="001D30A7" w:rsidRPr="009146D0">
        <w:rPr>
          <w:rFonts w:ascii="Times New Roman" w:hAnsi="Times New Roman" w:cs="Times New Roman"/>
        </w:rPr>
        <w:lastRenderedPageBreak/>
        <w:t xml:space="preserve">điểm, chưa hết thời hạn kháng cáo, trước </w:t>
      </w:r>
      <w:r w:rsidR="00AE1654" w:rsidRPr="009146D0">
        <w:rPr>
          <w:rFonts w:ascii="Times New Roman" w:hAnsi="Times New Roman" w:cs="Times New Roman"/>
        </w:rPr>
        <w:t xml:space="preserve">khi bắt đầu </w:t>
      </w:r>
      <w:r w:rsidR="001D30A7" w:rsidRPr="009146D0">
        <w:rPr>
          <w:rFonts w:ascii="Times New Roman" w:hAnsi="Times New Roman" w:cs="Times New Roman"/>
        </w:rPr>
        <w:t xml:space="preserve">phiên </w:t>
      </w:r>
      <w:r w:rsidR="008540FE" w:rsidRPr="009146D0">
        <w:rPr>
          <w:rFonts w:ascii="Times New Roman" w:hAnsi="Times New Roman" w:cs="Times New Roman"/>
        </w:rPr>
        <w:t>toà</w:t>
      </w:r>
      <w:r w:rsidR="001D30A7" w:rsidRPr="009146D0">
        <w:rPr>
          <w:rFonts w:ascii="Times New Roman" w:hAnsi="Times New Roman" w:cs="Times New Roman"/>
        </w:rPr>
        <w:t xml:space="preserve"> phúc thẩm và tại phiên </w:t>
      </w:r>
      <w:r w:rsidR="008540FE" w:rsidRPr="009146D0">
        <w:rPr>
          <w:rFonts w:ascii="Times New Roman" w:hAnsi="Times New Roman" w:cs="Times New Roman"/>
        </w:rPr>
        <w:t>toà</w:t>
      </w:r>
      <w:r w:rsidR="001D30A7" w:rsidRPr="009146D0">
        <w:rPr>
          <w:rFonts w:ascii="Times New Roman" w:hAnsi="Times New Roman" w:cs="Times New Roman"/>
        </w:rPr>
        <w:t xml:space="preserve"> phúc thẩm thì việc rút kháng cáo</w:t>
      </w:r>
      <w:r w:rsidR="00AE1654" w:rsidRPr="009146D0">
        <w:rPr>
          <w:rFonts w:ascii="Times New Roman" w:hAnsi="Times New Roman" w:cs="Times New Roman"/>
        </w:rPr>
        <w:t xml:space="preserve"> </w:t>
      </w:r>
      <w:r w:rsidR="001D30A7" w:rsidRPr="009146D0">
        <w:rPr>
          <w:rFonts w:ascii="Times New Roman" w:hAnsi="Times New Roman" w:cs="Times New Roman"/>
        </w:rPr>
        <w:t xml:space="preserve">được thực hiện ở hai thời điểm trước khi bắt đầu phiên </w:t>
      </w:r>
      <w:r w:rsidR="008540FE" w:rsidRPr="009146D0">
        <w:rPr>
          <w:rFonts w:ascii="Times New Roman" w:hAnsi="Times New Roman" w:cs="Times New Roman"/>
        </w:rPr>
        <w:t>toà</w:t>
      </w:r>
      <w:r w:rsidR="001D30A7" w:rsidRPr="009146D0">
        <w:rPr>
          <w:rFonts w:ascii="Times New Roman" w:hAnsi="Times New Roman" w:cs="Times New Roman"/>
        </w:rPr>
        <w:t xml:space="preserve"> và tại phiên </w:t>
      </w:r>
      <w:r w:rsidR="008540FE" w:rsidRPr="009146D0">
        <w:rPr>
          <w:rFonts w:ascii="Times New Roman" w:hAnsi="Times New Roman" w:cs="Times New Roman"/>
        </w:rPr>
        <w:t>toà</w:t>
      </w:r>
      <w:r w:rsidR="001D30A7" w:rsidRPr="009146D0">
        <w:rPr>
          <w:rFonts w:ascii="Times New Roman" w:hAnsi="Times New Roman" w:cs="Times New Roman"/>
        </w:rPr>
        <w:t xml:space="preserve"> phúc thẩm</w:t>
      </w:r>
      <w:r w:rsidR="00AE1654" w:rsidRPr="009146D0">
        <w:rPr>
          <w:rFonts w:ascii="Times New Roman" w:hAnsi="Times New Roman" w:cs="Times New Roman"/>
        </w:rPr>
        <w:t>. Sở dĩ như vậy là do xuất phát từ sự khác nhau về tính chất và hậu quả của các hoạt động này, việc rút kháng cáo không làm tăng lên</w:t>
      </w:r>
      <w:r w:rsidR="000E7778" w:rsidRPr="009146D0">
        <w:rPr>
          <w:rFonts w:ascii="Times New Roman" w:hAnsi="Times New Roman" w:cs="Times New Roman"/>
        </w:rPr>
        <w:t>, thay đổi</w:t>
      </w:r>
      <w:r w:rsidR="00AE1654" w:rsidRPr="009146D0">
        <w:rPr>
          <w:rFonts w:ascii="Times New Roman" w:hAnsi="Times New Roman" w:cs="Times New Roman"/>
        </w:rPr>
        <w:t xml:space="preserve"> yêu cầu kháng cáo mà </w:t>
      </w:r>
      <w:r w:rsidR="000E7778" w:rsidRPr="009146D0">
        <w:rPr>
          <w:rFonts w:ascii="Times New Roman" w:hAnsi="Times New Roman" w:cs="Times New Roman"/>
        </w:rPr>
        <w:t xml:space="preserve">là </w:t>
      </w:r>
      <w:r w:rsidR="00AE1654" w:rsidRPr="009146D0">
        <w:rPr>
          <w:rFonts w:ascii="Times New Roman" w:hAnsi="Times New Roman" w:cs="Times New Roman"/>
        </w:rPr>
        <w:t xml:space="preserve">thu lại các phần kháng cáo, </w:t>
      </w:r>
      <w:r w:rsidR="000E7778" w:rsidRPr="009146D0">
        <w:rPr>
          <w:rFonts w:ascii="Times New Roman" w:hAnsi="Times New Roman" w:cs="Times New Roman"/>
        </w:rPr>
        <w:t>động thái này</w:t>
      </w:r>
      <w:r w:rsidR="00AE1654" w:rsidRPr="009146D0">
        <w:rPr>
          <w:rFonts w:ascii="Times New Roman" w:hAnsi="Times New Roman" w:cs="Times New Roman"/>
        </w:rPr>
        <w:t xml:space="preserve"> không </w:t>
      </w:r>
      <w:r w:rsidR="000E7778" w:rsidRPr="009146D0">
        <w:rPr>
          <w:rFonts w:ascii="Times New Roman" w:hAnsi="Times New Roman" w:cs="Times New Roman"/>
        </w:rPr>
        <w:t>làm trở ngại</w:t>
      </w:r>
      <w:r w:rsidR="00AE1654" w:rsidRPr="009146D0">
        <w:rPr>
          <w:rFonts w:ascii="Times New Roman" w:hAnsi="Times New Roman" w:cs="Times New Roman"/>
        </w:rPr>
        <w:t xml:space="preserve"> đến hoạt động xét xử phúc thẩm của </w:t>
      </w:r>
      <w:r w:rsidR="00DC0BB6" w:rsidRPr="009146D0">
        <w:rPr>
          <w:rFonts w:ascii="Times New Roman" w:hAnsi="Times New Roman" w:cs="Times New Roman"/>
        </w:rPr>
        <w:t>t</w:t>
      </w:r>
      <w:r w:rsidR="008540FE" w:rsidRPr="009146D0">
        <w:rPr>
          <w:rFonts w:ascii="Times New Roman" w:hAnsi="Times New Roman" w:cs="Times New Roman"/>
        </w:rPr>
        <w:t>oà</w:t>
      </w:r>
      <w:r w:rsidR="00AE1654" w:rsidRPr="009146D0">
        <w:rPr>
          <w:rFonts w:ascii="Times New Roman" w:hAnsi="Times New Roman" w:cs="Times New Roman"/>
        </w:rPr>
        <w:t xml:space="preserve"> án, nên không cần đặt ra điều kiện như việc thay đổi, bổ sung kháng cáo.</w:t>
      </w:r>
    </w:p>
    <w:p w:rsidR="00020EBE" w:rsidRPr="009146D0" w:rsidRDefault="00020EBE"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i/>
        </w:rPr>
        <w:t>T</w:t>
      </w:r>
      <w:r w:rsidR="00DC0BB6" w:rsidRPr="009146D0">
        <w:rPr>
          <w:rFonts w:ascii="Times New Roman" w:hAnsi="Times New Roman" w:cs="Times New Roman"/>
          <w:i/>
        </w:rPr>
        <w:t>hứ hai,</w:t>
      </w:r>
      <w:r w:rsidRPr="009146D0">
        <w:rPr>
          <w:rFonts w:ascii="Times New Roman" w:hAnsi="Times New Roman" w:cs="Times New Roman"/>
        </w:rPr>
        <w:t xml:space="preserve"> về trình tự, thủ tục rút kháng cáo,</w:t>
      </w:r>
      <w:r w:rsidR="00A85539" w:rsidRPr="009146D0">
        <w:rPr>
          <w:rFonts w:ascii="Times New Roman" w:hAnsi="Times New Roman" w:cs="Times New Roman"/>
        </w:rPr>
        <w:t xml:space="preserve"> khoản 4 Điều 218 Luật TTHC quy đị</w:t>
      </w:r>
      <w:r w:rsidR="003D046A" w:rsidRPr="009146D0">
        <w:rPr>
          <w:rFonts w:ascii="Times New Roman" w:hAnsi="Times New Roman" w:cs="Times New Roman"/>
        </w:rPr>
        <w:t>nh: v</w:t>
      </w:r>
      <w:r w:rsidR="00A85539" w:rsidRPr="009146D0">
        <w:rPr>
          <w:rFonts w:ascii="Times New Roman" w:hAnsi="Times New Roman" w:cs="Times New Roman"/>
        </w:rPr>
        <w:t xml:space="preserve">iệc rút kháng cáo trước khi mở phiên </w:t>
      </w:r>
      <w:r w:rsidR="008540FE" w:rsidRPr="009146D0">
        <w:rPr>
          <w:rFonts w:ascii="Times New Roman" w:hAnsi="Times New Roman" w:cs="Times New Roman"/>
        </w:rPr>
        <w:t>toà</w:t>
      </w:r>
      <w:r w:rsidR="00A85539" w:rsidRPr="009146D0">
        <w:rPr>
          <w:rFonts w:ascii="Times New Roman" w:hAnsi="Times New Roman" w:cs="Times New Roman"/>
        </w:rPr>
        <w:t xml:space="preserve"> phải được lập thành văn bản và gửi cho </w:t>
      </w:r>
      <w:r w:rsidR="00DD242F" w:rsidRPr="009146D0">
        <w:rPr>
          <w:rFonts w:ascii="Times New Roman" w:hAnsi="Times New Roman" w:cs="Times New Roman"/>
        </w:rPr>
        <w:t>t</w:t>
      </w:r>
      <w:r w:rsidR="008540FE" w:rsidRPr="009146D0">
        <w:rPr>
          <w:rFonts w:ascii="Times New Roman" w:hAnsi="Times New Roman" w:cs="Times New Roman"/>
        </w:rPr>
        <w:t>oà</w:t>
      </w:r>
      <w:r w:rsidR="00A85539" w:rsidRPr="009146D0">
        <w:rPr>
          <w:rFonts w:ascii="Times New Roman" w:hAnsi="Times New Roman" w:cs="Times New Roman"/>
        </w:rPr>
        <w:t xml:space="preserve"> án cấp phúc thẩm, </w:t>
      </w:r>
      <w:r w:rsidR="00DD242F" w:rsidRPr="009146D0">
        <w:rPr>
          <w:rFonts w:ascii="Times New Roman" w:hAnsi="Times New Roman" w:cs="Times New Roman"/>
        </w:rPr>
        <w:t>t</w:t>
      </w:r>
      <w:r w:rsidR="008540FE" w:rsidRPr="009146D0">
        <w:rPr>
          <w:rFonts w:ascii="Times New Roman" w:hAnsi="Times New Roman" w:cs="Times New Roman"/>
        </w:rPr>
        <w:t>oà</w:t>
      </w:r>
      <w:r w:rsidR="00A85539" w:rsidRPr="009146D0">
        <w:rPr>
          <w:rFonts w:ascii="Times New Roman" w:hAnsi="Times New Roman" w:cs="Times New Roman"/>
        </w:rPr>
        <w:t xml:space="preserve"> án cấp phúc thẩm phải thông báo cho các đương sự về việc thay đổi, bổ sung kháng cáo, thông báo cho VKS cùng cấp biết về </w:t>
      </w:r>
      <w:r w:rsidR="004223D8" w:rsidRPr="009146D0">
        <w:rPr>
          <w:rFonts w:ascii="Times New Roman" w:hAnsi="Times New Roman" w:cs="Times New Roman"/>
        </w:rPr>
        <w:t>rút</w:t>
      </w:r>
      <w:r w:rsidR="00A85539" w:rsidRPr="009146D0">
        <w:rPr>
          <w:rFonts w:ascii="Times New Roman" w:hAnsi="Times New Roman" w:cs="Times New Roman"/>
        </w:rPr>
        <w:t xml:space="preserve"> kháng cáo của đương sự. Bên cạnh đó, ở thời điểm tại phiên </w:t>
      </w:r>
      <w:r w:rsidR="008540FE" w:rsidRPr="009146D0">
        <w:rPr>
          <w:rFonts w:ascii="Times New Roman" w:hAnsi="Times New Roman" w:cs="Times New Roman"/>
        </w:rPr>
        <w:t>toà</w:t>
      </w:r>
      <w:r w:rsidR="00A85539" w:rsidRPr="009146D0">
        <w:rPr>
          <w:rFonts w:ascii="Times New Roman" w:hAnsi="Times New Roman" w:cs="Times New Roman"/>
        </w:rPr>
        <w:t>, việ</w:t>
      </w:r>
      <w:r w:rsidR="009D0EB3" w:rsidRPr="009146D0">
        <w:rPr>
          <w:rFonts w:ascii="Times New Roman" w:hAnsi="Times New Roman" w:cs="Times New Roman"/>
        </w:rPr>
        <w:t>c rút</w:t>
      </w:r>
      <w:r w:rsidR="00A85539" w:rsidRPr="009146D0">
        <w:rPr>
          <w:rFonts w:ascii="Times New Roman" w:hAnsi="Times New Roman" w:cs="Times New Roman"/>
        </w:rPr>
        <w:t xml:space="preserve"> kháng cáo phải được ghi vào biên bản phiên </w:t>
      </w:r>
      <w:r w:rsidR="008540FE" w:rsidRPr="009146D0">
        <w:rPr>
          <w:rFonts w:ascii="Times New Roman" w:hAnsi="Times New Roman" w:cs="Times New Roman"/>
        </w:rPr>
        <w:t>toà</w:t>
      </w:r>
      <w:r w:rsidR="00BE76A8" w:rsidRPr="009146D0">
        <w:rPr>
          <w:rFonts w:ascii="Times New Roman" w:hAnsi="Times New Roman" w:cs="Times New Roman"/>
        </w:rPr>
        <w:t xml:space="preserve"> </w:t>
      </w:r>
      <w:r w:rsidR="00A85539" w:rsidRPr="009146D0">
        <w:rPr>
          <w:rFonts w:ascii="Times New Roman" w:hAnsi="Times New Roman" w:cs="Times New Roman"/>
        </w:rPr>
        <w:t>để bảo đảm việc áp dụng, thi hành pháp luật được thống nhất</w:t>
      </w:r>
      <w:r w:rsidR="004B7C75" w:rsidRPr="009146D0">
        <w:rPr>
          <w:rFonts w:ascii="Times New Roman" w:hAnsi="Times New Roman" w:cs="Times New Roman"/>
        </w:rPr>
        <w:t xml:space="preserve">. </w:t>
      </w:r>
    </w:p>
    <w:p w:rsidR="009042DC" w:rsidRPr="009146D0" w:rsidRDefault="007B3D49"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i/>
        </w:rPr>
        <w:t>Thứ ba,</w:t>
      </w:r>
      <w:r w:rsidR="001462D6" w:rsidRPr="009146D0">
        <w:rPr>
          <w:rFonts w:ascii="Times New Roman" w:hAnsi="Times New Roman" w:cs="Times New Roman"/>
        </w:rPr>
        <w:t xml:space="preserve"> về thẩm quyền đình chỉ xét xử phúc thẩm khi rút kháng cáo, </w:t>
      </w:r>
      <w:r w:rsidR="00916CF3" w:rsidRPr="009146D0">
        <w:rPr>
          <w:rFonts w:ascii="Times New Roman" w:hAnsi="Times New Roman" w:cs="Times New Roman"/>
        </w:rPr>
        <w:t>k</w:t>
      </w:r>
      <w:r w:rsidR="001A22A8" w:rsidRPr="009146D0">
        <w:rPr>
          <w:rFonts w:ascii="Times New Roman" w:hAnsi="Times New Roman" w:cs="Times New Roman"/>
        </w:rPr>
        <w:t>hoản 3 Điều 218 Luậ</w:t>
      </w:r>
      <w:r w:rsidR="00F2536D" w:rsidRPr="009146D0">
        <w:rPr>
          <w:rFonts w:ascii="Times New Roman" w:hAnsi="Times New Roman" w:cs="Times New Roman"/>
        </w:rPr>
        <w:t>t TTHC</w:t>
      </w:r>
      <w:r w:rsidR="00A15C84" w:rsidRPr="009146D0">
        <w:rPr>
          <w:rFonts w:ascii="Times New Roman" w:hAnsi="Times New Roman" w:cs="Times New Roman"/>
        </w:rPr>
        <w:t xml:space="preserve"> quy định</w:t>
      </w:r>
      <w:r w:rsidR="00916CF3" w:rsidRPr="009146D0">
        <w:rPr>
          <w:rFonts w:ascii="Times New Roman" w:hAnsi="Times New Roman" w:cs="Times New Roman"/>
        </w:rPr>
        <w:t xml:space="preserve"> nếu người kháng cáo rút kháng cáo trước khi mở phiên </w:t>
      </w:r>
      <w:r w:rsidR="008540FE" w:rsidRPr="009146D0">
        <w:rPr>
          <w:rFonts w:ascii="Times New Roman" w:hAnsi="Times New Roman" w:cs="Times New Roman"/>
        </w:rPr>
        <w:t>toà</w:t>
      </w:r>
      <w:r w:rsidR="00CC0067" w:rsidRPr="009146D0">
        <w:rPr>
          <w:rFonts w:ascii="Times New Roman" w:hAnsi="Times New Roman" w:cs="Times New Roman"/>
        </w:rPr>
        <w:t xml:space="preserve"> thì t</w:t>
      </w:r>
      <w:r w:rsidR="00916CF3" w:rsidRPr="009146D0">
        <w:rPr>
          <w:rFonts w:ascii="Times New Roman" w:hAnsi="Times New Roman" w:cs="Times New Roman"/>
        </w:rPr>
        <w:t xml:space="preserve">hẩm phán chủ tọa phiên </w:t>
      </w:r>
      <w:r w:rsidR="008540FE" w:rsidRPr="009146D0">
        <w:rPr>
          <w:rFonts w:ascii="Times New Roman" w:hAnsi="Times New Roman" w:cs="Times New Roman"/>
        </w:rPr>
        <w:t>toà</w:t>
      </w:r>
      <w:r w:rsidR="00916CF3" w:rsidRPr="009146D0">
        <w:rPr>
          <w:rFonts w:ascii="Times New Roman" w:hAnsi="Times New Roman" w:cs="Times New Roman"/>
        </w:rPr>
        <w:t xml:space="preserve"> sẽ quyết định việc đình chỉ xét xử phúc thẩ</w:t>
      </w:r>
      <w:r w:rsidR="00A15C84" w:rsidRPr="009146D0">
        <w:rPr>
          <w:rFonts w:ascii="Times New Roman" w:hAnsi="Times New Roman" w:cs="Times New Roman"/>
        </w:rPr>
        <w:t>m; n</w:t>
      </w:r>
      <w:r w:rsidR="00916CF3" w:rsidRPr="009146D0">
        <w:rPr>
          <w:rFonts w:ascii="Times New Roman" w:hAnsi="Times New Roman" w:cs="Times New Roman"/>
        </w:rPr>
        <w:t xml:space="preserve">ếu người kháng cáo rút kháng cáo tại phiên </w:t>
      </w:r>
      <w:r w:rsidR="008540FE" w:rsidRPr="009146D0">
        <w:rPr>
          <w:rFonts w:ascii="Times New Roman" w:hAnsi="Times New Roman" w:cs="Times New Roman"/>
        </w:rPr>
        <w:t>toà</w:t>
      </w:r>
      <w:r w:rsidR="00916CF3" w:rsidRPr="009146D0">
        <w:rPr>
          <w:rFonts w:ascii="Times New Roman" w:hAnsi="Times New Roman" w:cs="Times New Roman"/>
        </w:rPr>
        <w:t xml:space="preserve"> phúc thẩm thì </w:t>
      </w:r>
      <w:r w:rsidR="003023B9" w:rsidRPr="009146D0">
        <w:rPr>
          <w:rFonts w:ascii="Times New Roman" w:hAnsi="Times New Roman" w:cs="Times New Roman"/>
        </w:rPr>
        <w:t>HĐXX</w:t>
      </w:r>
      <w:r w:rsidR="00916CF3" w:rsidRPr="009146D0">
        <w:rPr>
          <w:rFonts w:ascii="Times New Roman" w:hAnsi="Times New Roman" w:cs="Times New Roman"/>
        </w:rPr>
        <w:t xml:space="preserve"> phúc thẩm sẽ quyết định đình chỉ xét xử phúc thẩm. Ngoài ra, khoản 2 Điều 229 Luật TTHC cũng đề cập</w:t>
      </w:r>
      <w:r w:rsidR="003023B9" w:rsidRPr="009146D0">
        <w:rPr>
          <w:rFonts w:ascii="Times New Roman" w:hAnsi="Times New Roman" w:cs="Times New Roman"/>
        </w:rPr>
        <w:t>: t</w:t>
      </w:r>
      <w:r w:rsidR="00F2536D" w:rsidRPr="009146D0">
        <w:rPr>
          <w:rFonts w:ascii="Times New Roman" w:hAnsi="Times New Roman" w:cs="Times New Roman"/>
        </w:rPr>
        <w:t>rường hợp</w:t>
      </w:r>
      <w:r w:rsidR="00EC49F7" w:rsidRPr="009146D0">
        <w:rPr>
          <w:rFonts w:ascii="Times New Roman" w:hAnsi="Times New Roman" w:cs="Times New Roman"/>
        </w:rPr>
        <w:t>,</w:t>
      </w:r>
      <w:r w:rsidR="00F2536D" w:rsidRPr="009146D0">
        <w:rPr>
          <w:rFonts w:ascii="Times New Roman" w:hAnsi="Times New Roman" w:cs="Times New Roman"/>
        </w:rPr>
        <w:t xml:space="preserve"> người kháng cáo rút toàn bộ kháng cáo</w:t>
      </w:r>
      <w:r w:rsidR="009042DC" w:rsidRPr="009146D0">
        <w:rPr>
          <w:rFonts w:ascii="Times New Roman" w:hAnsi="Times New Roman" w:cs="Times New Roman"/>
        </w:rPr>
        <w:t xml:space="preserve"> </w:t>
      </w:r>
      <w:r w:rsidR="00F2536D" w:rsidRPr="009146D0">
        <w:rPr>
          <w:rFonts w:ascii="Times New Roman" w:hAnsi="Times New Roman" w:cs="Times New Roman"/>
        </w:rPr>
        <w:t xml:space="preserve">trước khi </w:t>
      </w:r>
      <w:r w:rsidR="002C4CF2" w:rsidRPr="009146D0">
        <w:rPr>
          <w:rFonts w:ascii="Times New Roman" w:hAnsi="Times New Roman" w:cs="Times New Roman"/>
        </w:rPr>
        <w:t>t</w:t>
      </w:r>
      <w:r w:rsidR="008540FE" w:rsidRPr="009146D0">
        <w:rPr>
          <w:rFonts w:ascii="Times New Roman" w:hAnsi="Times New Roman" w:cs="Times New Roman"/>
        </w:rPr>
        <w:t>oà</w:t>
      </w:r>
      <w:r w:rsidR="00F2536D" w:rsidRPr="009146D0">
        <w:rPr>
          <w:rFonts w:ascii="Times New Roman" w:hAnsi="Times New Roman" w:cs="Times New Roman"/>
        </w:rPr>
        <w:t xml:space="preserve"> án cấp phúc thẩm ra quyết định đưa vụ án ra xét xử phúc thẩ</w:t>
      </w:r>
      <w:r w:rsidR="002C4CF2" w:rsidRPr="009146D0">
        <w:rPr>
          <w:rFonts w:ascii="Times New Roman" w:hAnsi="Times New Roman" w:cs="Times New Roman"/>
        </w:rPr>
        <w:t>m thì t</w:t>
      </w:r>
      <w:r w:rsidR="00F2536D" w:rsidRPr="009146D0">
        <w:rPr>
          <w:rFonts w:ascii="Times New Roman" w:hAnsi="Times New Roman" w:cs="Times New Roman"/>
        </w:rPr>
        <w:t xml:space="preserve">hẩm phán được phân công làm chủ tọa phiên </w:t>
      </w:r>
      <w:r w:rsidR="008540FE" w:rsidRPr="009146D0">
        <w:rPr>
          <w:rFonts w:ascii="Times New Roman" w:hAnsi="Times New Roman" w:cs="Times New Roman"/>
        </w:rPr>
        <w:t>toà</w:t>
      </w:r>
      <w:r w:rsidR="00F2536D" w:rsidRPr="009146D0">
        <w:rPr>
          <w:rFonts w:ascii="Times New Roman" w:hAnsi="Times New Roman" w:cs="Times New Roman"/>
        </w:rPr>
        <w:t xml:space="preserve"> ra </w:t>
      </w:r>
      <w:r w:rsidR="00F2536D" w:rsidRPr="009146D0">
        <w:rPr>
          <w:rFonts w:ascii="Times New Roman" w:hAnsi="Times New Roman" w:cs="Times New Roman"/>
        </w:rPr>
        <w:lastRenderedPageBreak/>
        <w:t>quyết định đình chỉ xét xử phúc thẩm, trường hợp người kháng cáo rút toàn bộ kháng cáo</w:t>
      </w:r>
      <w:r w:rsidR="00F840DD" w:rsidRPr="009146D0">
        <w:rPr>
          <w:rFonts w:ascii="Times New Roman" w:hAnsi="Times New Roman" w:cs="Times New Roman"/>
        </w:rPr>
        <w:t xml:space="preserve"> </w:t>
      </w:r>
      <w:r w:rsidR="00F2536D" w:rsidRPr="009146D0">
        <w:rPr>
          <w:rFonts w:ascii="Times New Roman" w:hAnsi="Times New Roman" w:cs="Times New Roman"/>
        </w:rPr>
        <w:t xml:space="preserve">sau khi </w:t>
      </w:r>
      <w:r w:rsidR="002C4CF2" w:rsidRPr="009146D0">
        <w:rPr>
          <w:rFonts w:ascii="Times New Roman" w:hAnsi="Times New Roman" w:cs="Times New Roman"/>
        </w:rPr>
        <w:t>t</w:t>
      </w:r>
      <w:r w:rsidR="008540FE" w:rsidRPr="009146D0">
        <w:rPr>
          <w:rFonts w:ascii="Times New Roman" w:hAnsi="Times New Roman" w:cs="Times New Roman"/>
        </w:rPr>
        <w:t>oà</w:t>
      </w:r>
      <w:r w:rsidR="00F2536D" w:rsidRPr="009146D0">
        <w:rPr>
          <w:rFonts w:ascii="Times New Roman" w:hAnsi="Times New Roman" w:cs="Times New Roman"/>
        </w:rPr>
        <w:t xml:space="preserve"> án cấp phúc thẩm ra quyết định đưa vụ án ra xét xử thì </w:t>
      </w:r>
      <w:r w:rsidR="002C4CF2" w:rsidRPr="009146D0">
        <w:rPr>
          <w:rFonts w:ascii="Times New Roman" w:hAnsi="Times New Roman" w:cs="Times New Roman"/>
        </w:rPr>
        <w:t>HĐXX</w:t>
      </w:r>
      <w:r w:rsidR="00F2536D" w:rsidRPr="009146D0">
        <w:rPr>
          <w:rFonts w:ascii="Times New Roman" w:hAnsi="Times New Roman" w:cs="Times New Roman"/>
        </w:rPr>
        <w:t xml:space="preserve"> ra quyết định đình chỉ xét xử phúc thẩ</w:t>
      </w:r>
      <w:r w:rsidR="00916CF3" w:rsidRPr="009146D0">
        <w:rPr>
          <w:rFonts w:ascii="Times New Roman" w:hAnsi="Times New Roman" w:cs="Times New Roman"/>
        </w:rPr>
        <w:t xml:space="preserve">m. </w:t>
      </w:r>
    </w:p>
    <w:p w:rsidR="00C70029" w:rsidRPr="009146D0" w:rsidRDefault="00A15C84" w:rsidP="00081D48">
      <w:pPr>
        <w:widowControl w:val="0"/>
        <w:spacing w:line="276" w:lineRule="auto"/>
        <w:ind w:firstLine="369"/>
        <w:jc w:val="both"/>
        <w:rPr>
          <w:rFonts w:ascii="Times New Roman" w:hAnsi="Times New Roman" w:cs="Times New Roman"/>
          <w:b/>
        </w:rPr>
      </w:pPr>
      <w:r w:rsidRPr="009146D0">
        <w:rPr>
          <w:rFonts w:ascii="Times New Roman" w:hAnsi="Times New Roman" w:cs="Times New Roman"/>
          <w:b/>
        </w:rPr>
        <w:t>2</w:t>
      </w:r>
      <w:r w:rsidR="00C70029" w:rsidRPr="009146D0">
        <w:rPr>
          <w:rFonts w:ascii="Times New Roman" w:hAnsi="Times New Roman" w:cs="Times New Roman"/>
          <w:b/>
        </w:rPr>
        <w:t>.</w:t>
      </w:r>
      <w:r w:rsidR="00C70029" w:rsidRPr="009146D0">
        <w:rPr>
          <w:rFonts w:ascii="Times New Roman" w:hAnsi="Times New Roman" w:cs="Times New Roman"/>
        </w:rPr>
        <w:t xml:space="preserve"> </w:t>
      </w:r>
      <w:r w:rsidR="00C70029" w:rsidRPr="009146D0">
        <w:rPr>
          <w:rFonts w:ascii="Times New Roman" w:hAnsi="Times New Roman" w:cs="Times New Roman"/>
          <w:b/>
        </w:rPr>
        <w:t xml:space="preserve">Một số hạn chế bất cập trong quy định của Luật </w:t>
      </w:r>
      <w:r w:rsidR="00261045" w:rsidRPr="009146D0">
        <w:rPr>
          <w:rFonts w:ascii="Times New Roman" w:hAnsi="Times New Roman" w:cs="Times New Roman"/>
          <w:b/>
        </w:rPr>
        <w:t xml:space="preserve">Tố tụng hành chính </w:t>
      </w:r>
      <w:r w:rsidR="00C70029" w:rsidRPr="009146D0">
        <w:rPr>
          <w:rFonts w:ascii="Times New Roman" w:hAnsi="Times New Roman" w:cs="Times New Roman"/>
          <w:b/>
        </w:rPr>
        <w:t>về việc thay đổi, bổ sung, rút kháng cáo và đề xuất hoàn thiện</w:t>
      </w:r>
    </w:p>
    <w:p w:rsidR="00D638C0" w:rsidRPr="009146D0" w:rsidRDefault="00D638C0"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t xml:space="preserve">Nhìn chung, so với quy định của Luật </w:t>
      </w:r>
      <w:r w:rsidR="003E4794" w:rsidRPr="009146D0">
        <w:rPr>
          <w:rFonts w:ascii="Times New Roman" w:hAnsi="Times New Roman" w:cs="Times New Roman"/>
        </w:rPr>
        <w:t>TTHC</w:t>
      </w:r>
      <w:r w:rsidRPr="009146D0">
        <w:rPr>
          <w:rFonts w:ascii="Times New Roman" w:hAnsi="Times New Roman" w:cs="Times New Roman"/>
        </w:rPr>
        <w:t xml:space="preserve"> năm 2010, Luật TTHC hiện hành đã quy định tương đối hoàn thiện, cụ thể về việc thay đổi, bổ sung, rút kháng cáo của người đã kháng cáo. Điều này phần nào đã giúp cho người đã kháng cáo thực hiện</w:t>
      </w:r>
      <w:r w:rsidR="00801448" w:rsidRPr="009146D0">
        <w:rPr>
          <w:rFonts w:ascii="Times New Roman" w:hAnsi="Times New Roman" w:cs="Times New Roman"/>
        </w:rPr>
        <w:t xml:space="preserve"> hiệu quả</w:t>
      </w:r>
      <w:r w:rsidR="000E7778" w:rsidRPr="009146D0">
        <w:rPr>
          <w:rFonts w:ascii="Times New Roman" w:hAnsi="Times New Roman" w:cs="Times New Roman"/>
        </w:rPr>
        <w:t xml:space="preserve"> </w:t>
      </w:r>
      <w:r w:rsidR="00801448" w:rsidRPr="009146D0">
        <w:rPr>
          <w:rFonts w:ascii="Times New Roman" w:hAnsi="Times New Roman" w:cs="Times New Roman"/>
        </w:rPr>
        <w:t>h</w:t>
      </w:r>
      <w:r w:rsidR="000E7778" w:rsidRPr="009146D0">
        <w:rPr>
          <w:rFonts w:ascii="Times New Roman" w:hAnsi="Times New Roman" w:cs="Times New Roman"/>
        </w:rPr>
        <w:t>ơn các</w:t>
      </w:r>
      <w:r w:rsidRPr="009146D0">
        <w:rPr>
          <w:rFonts w:ascii="Times New Roman" w:hAnsi="Times New Roman" w:cs="Times New Roman"/>
        </w:rPr>
        <w:t xml:space="preserve"> quyền tự quyết định và tự định đoạt của mình trong việc đưa ra yêu cầ</w:t>
      </w:r>
      <w:r w:rsidR="00E1309B" w:rsidRPr="009146D0">
        <w:rPr>
          <w:rFonts w:ascii="Times New Roman" w:hAnsi="Times New Roman" w:cs="Times New Roman"/>
        </w:rPr>
        <w:t>u kháng cáo và thay đổi, bổ</w:t>
      </w:r>
      <w:r w:rsidR="000E7778" w:rsidRPr="009146D0">
        <w:rPr>
          <w:rFonts w:ascii="Times New Roman" w:hAnsi="Times New Roman" w:cs="Times New Roman"/>
        </w:rPr>
        <w:t xml:space="preserve"> sung, rút kháng cáo trong</w:t>
      </w:r>
      <w:r w:rsidR="00E1309B" w:rsidRPr="009146D0">
        <w:rPr>
          <w:rFonts w:ascii="Times New Roman" w:hAnsi="Times New Roman" w:cs="Times New Roman"/>
        </w:rPr>
        <w:t xml:space="preserve"> giai đoạn phúc thẩm vụ án hành chính</w:t>
      </w:r>
      <w:r w:rsidR="00263EAE" w:rsidRPr="009146D0">
        <w:rPr>
          <w:rFonts w:ascii="Times New Roman" w:hAnsi="Times New Roman" w:cs="Times New Roman"/>
        </w:rPr>
        <w:t>.</w:t>
      </w:r>
      <w:r w:rsidR="00E1309B" w:rsidRPr="009146D0">
        <w:rPr>
          <w:rFonts w:ascii="Times New Roman" w:hAnsi="Times New Roman" w:cs="Times New Roman"/>
        </w:rPr>
        <w:t xml:space="preserve"> </w:t>
      </w:r>
      <w:r w:rsidR="00842A83" w:rsidRPr="009146D0">
        <w:rPr>
          <w:rFonts w:ascii="Times New Roman" w:hAnsi="Times New Roman" w:cs="Times New Roman"/>
        </w:rPr>
        <w:t>Mặc dù vậy,</w:t>
      </w:r>
      <w:r w:rsidR="00E1309B" w:rsidRPr="009146D0">
        <w:rPr>
          <w:rFonts w:ascii="Times New Roman" w:hAnsi="Times New Roman" w:cs="Times New Roman"/>
        </w:rPr>
        <w:t xml:space="preserve"> một </w:t>
      </w:r>
      <w:r w:rsidR="003E4794" w:rsidRPr="009146D0">
        <w:rPr>
          <w:rFonts w:ascii="Times New Roman" w:hAnsi="Times New Roman" w:cs="Times New Roman"/>
        </w:rPr>
        <w:t>số</w:t>
      </w:r>
      <w:r w:rsidR="00E1309B" w:rsidRPr="009146D0">
        <w:rPr>
          <w:rFonts w:ascii="Times New Roman" w:hAnsi="Times New Roman" w:cs="Times New Roman"/>
        </w:rPr>
        <w:t xml:space="preserve"> quy định của Luật TTHC hiện hành về thay đổi, bổ sung, rút kháng cáo còn hạn chế</w:t>
      </w:r>
      <w:r w:rsidR="008A0C51" w:rsidRPr="009146D0">
        <w:rPr>
          <w:rFonts w:ascii="Times New Roman" w:hAnsi="Times New Roman" w:cs="Times New Roman"/>
        </w:rPr>
        <w:t>, bất cập cần sớm đánh giá lại để hoàn thiện hơn.</w:t>
      </w:r>
    </w:p>
    <w:p w:rsidR="00E1309B" w:rsidRPr="009146D0" w:rsidRDefault="00E1309B" w:rsidP="00081D48">
      <w:pPr>
        <w:widowControl w:val="0"/>
        <w:spacing w:line="276" w:lineRule="auto"/>
        <w:ind w:firstLine="369"/>
        <w:jc w:val="both"/>
        <w:rPr>
          <w:rFonts w:ascii="Times New Roman" w:hAnsi="Times New Roman" w:cs="Times New Roman"/>
          <w:spacing w:val="-2"/>
        </w:rPr>
      </w:pPr>
      <w:r w:rsidRPr="009146D0">
        <w:rPr>
          <w:rFonts w:ascii="Times New Roman" w:hAnsi="Times New Roman" w:cs="Times New Roman"/>
          <w:i/>
          <w:spacing w:val="-2"/>
        </w:rPr>
        <w:t xml:space="preserve">Thứ nhất, </w:t>
      </w:r>
      <w:r w:rsidRPr="009146D0">
        <w:rPr>
          <w:rFonts w:ascii="Times New Roman" w:hAnsi="Times New Roman" w:cs="Times New Roman"/>
          <w:spacing w:val="-2"/>
        </w:rPr>
        <w:t>Luật TTHC và các văn bản liên quan chưa có quy định hướng dẫn về thế</w:t>
      </w:r>
      <w:r w:rsidR="008F7B5D" w:rsidRPr="009146D0">
        <w:rPr>
          <w:rFonts w:ascii="Times New Roman" w:hAnsi="Times New Roman" w:cs="Times New Roman"/>
          <w:spacing w:val="-2"/>
        </w:rPr>
        <w:t xml:space="preserve"> nào </w:t>
      </w:r>
      <w:r w:rsidRPr="009146D0">
        <w:rPr>
          <w:rFonts w:ascii="Times New Roman" w:hAnsi="Times New Roman" w:cs="Times New Roman"/>
          <w:spacing w:val="-8"/>
        </w:rPr>
        <w:t xml:space="preserve">là </w:t>
      </w:r>
      <w:r w:rsidR="00D75721" w:rsidRPr="009146D0">
        <w:rPr>
          <w:rFonts w:ascii="Times New Roman" w:hAnsi="Times New Roman" w:cs="Times New Roman"/>
          <w:spacing w:val="-8"/>
        </w:rPr>
        <w:t>“</w:t>
      </w:r>
      <w:r w:rsidR="008F7B5D" w:rsidRPr="009146D0">
        <w:rPr>
          <w:rFonts w:ascii="Times New Roman" w:hAnsi="Times New Roman" w:cs="Times New Roman"/>
          <w:spacing w:val="-8"/>
        </w:rPr>
        <w:t>không</w:t>
      </w:r>
      <w:r w:rsidR="008F7B5D" w:rsidRPr="009146D0">
        <w:rPr>
          <w:rFonts w:ascii="Times New Roman" w:hAnsi="Times New Roman" w:cs="Times New Roman"/>
          <w:b/>
          <w:spacing w:val="-8"/>
        </w:rPr>
        <w:t xml:space="preserve"> </w:t>
      </w:r>
      <w:r w:rsidRPr="009146D0">
        <w:rPr>
          <w:rFonts w:ascii="Times New Roman" w:hAnsi="Times New Roman" w:cs="Times New Roman"/>
          <w:spacing w:val="-8"/>
        </w:rPr>
        <w:t>vượt quá phạm vi kháng cáo ban đầu</w:t>
      </w:r>
      <w:r w:rsidR="00D75721" w:rsidRPr="009146D0">
        <w:rPr>
          <w:rFonts w:ascii="Times New Roman" w:hAnsi="Times New Roman" w:cs="Times New Roman"/>
          <w:spacing w:val="-2"/>
        </w:rPr>
        <w:t>”</w:t>
      </w:r>
    </w:p>
    <w:p w:rsidR="00893955" w:rsidRPr="009146D0" w:rsidRDefault="00C47579" w:rsidP="00C31A84">
      <w:pPr>
        <w:widowControl w:val="0"/>
        <w:autoSpaceDE w:val="0"/>
        <w:autoSpaceDN w:val="0"/>
        <w:adjustRightInd w:val="0"/>
        <w:spacing w:line="274" w:lineRule="auto"/>
        <w:ind w:firstLine="369"/>
        <w:jc w:val="both"/>
        <w:rPr>
          <w:rFonts w:ascii="Times New Roman" w:hAnsi="Times New Roman" w:cs="Times New Roman"/>
        </w:rPr>
      </w:pPr>
      <w:r w:rsidRPr="009146D0">
        <w:rPr>
          <w:rFonts w:ascii="Times New Roman" w:hAnsi="Times New Roman" w:cs="Times New Roman"/>
        </w:rPr>
        <w:t xml:space="preserve">Như đã phân tích tại mục 2.1 trên đây, ở thời điểm </w:t>
      </w:r>
      <w:r w:rsidR="00D62C17" w:rsidRPr="009146D0">
        <w:rPr>
          <w:rFonts w:ascii="Times New Roman" w:hAnsi="Times New Roman" w:cs="Times New Roman"/>
        </w:rPr>
        <w:t xml:space="preserve">trước khi bắt đầu phiên </w:t>
      </w:r>
      <w:r w:rsidR="008540FE" w:rsidRPr="009146D0">
        <w:rPr>
          <w:rFonts w:ascii="Times New Roman" w:hAnsi="Times New Roman" w:cs="Times New Roman"/>
        </w:rPr>
        <w:t>toà</w:t>
      </w:r>
      <w:r w:rsidR="00D62C17" w:rsidRPr="009146D0">
        <w:rPr>
          <w:rFonts w:ascii="Times New Roman" w:hAnsi="Times New Roman" w:cs="Times New Roman"/>
        </w:rPr>
        <w:t xml:space="preserve"> hoặc tại phiên </w:t>
      </w:r>
      <w:r w:rsidR="008540FE" w:rsidRPr="009146D0">
        <w:rPr>
          <w:rFonts w:ascii="Times New Roman" w:hAnsi="Times New Roman" w:cs="Times New Roman"/>
        </w:rPr>
        <w:t>toà</w:t>
      </w:r>
      <w:r w:rsidR="00D62C17" w:rsidRPr="009146D0">
        <w:rPr>
          <w:rFonts w:ascii="Times New Roman" w:hAnsi="Times New Roman" w:cs="Times New Roman"/>
        </w:rPr>
        <w:t xml:space="preserve"> phúc thẩm, ngườ</w:t>
      </w:r>
      <w:r w:rsidR="00F93176" w:rsidRPr="009146D0">
        <w:rPr>
          <w:rFonts w:ascii="Times New Roman" w:hAnsi="Times New Roman" w:cs="Times New Roman"/>
        </w:rPr>
        <w:t>i</w:t>
      </w:r>
      <w:r w:rsidR="006C6759" w:rsidRPr="009146D0">
        <w:rPr>
          <w:rFonts w:ascii="Times New Roman" w:hAnsi="Times New Roman" w:cs="Times New Roman"/>
        </w:rPr>
        <w:t xml:space="preserve"> </w:t>
      </w:r>
      <w:r w:rsidR="00D62C17" w:rsidRPr="009146D0">
        <w:rPr>
          <w:rFonts w:ascii="Times New Roman" w:hAnsi="Times New Roman" w:cs="Times New Roman"/>
        </w:rPr>
        <w:t>kháng cáo có quyền thay đổi, bổ sung kháng cáo nhưng không được</w:t>
      </w:r>
      <w:r w:rsidR="00C21517" w:rsidRPr="009146D0">
        <w:rPr>
          <w:rFonts w:ascii="Times New Roman" w:hAnsi="Times New Roman" w:cs="Times New Roman"/>
        </w:rPr>
        <w:t xml:space="preserve"> vượt</w:t>
      </w:r>
      <w:r w:rsidR="00D62C17" w:rsidRPr="009146D0">
        <w:rPr>
          <w:rFonts w:ascii="Times New Roman" w:hAnsi="Times New Roman" w:cs="Times New Roman"/>
        </w:rPr>
        <w:t xml:space="preserve"> quá phạm vi kháng cáo ban đầu nếu thời hạn kháng cáo đã hết. </w:t>
      </w:r>
      <w:r w:rsidR="00842A83" w:rsidRPr="009146D0">
        <w:rPr>
          <w:rFonts w:ascii="Times New Roman" w:hAnsi="Times New Roman" w:cs="Times New Roman"/>
        </w:rPr>
        <w:t>Tuy nhiên</w:t>
      </w:r>
      <w:r w:rsidR="006C6759" w:rsidRPr="009146D0">
        <w:rPr>
          <w:rFonts w:ascii="Times New Roman" w:hAnsi="Times New Roman" w:cs="Times New Roman"/>
        </w:rPr>
        <w:t xml:space="preserve">, Luật TTHC và các văn bản hướng dẫn có liên quan chưa giải thích rõ thế nào là </w:t>
      </w:r>
      <w:r w:rsidR="006C6759" w:rsidRPr="009146D0">
        <w:rPr>
          <w:rFonts w:ascii="Times New Roman" w:hAnsi="Times New Roman" w:cs="Times New Roman"/>
          <w:i/>
        </w:rPr>
        <w:t>“</w:t>
      </w:r>
      <w:r w:rsidR="008D3D44" w:rsidRPr="009146D0">
        <w:rPr>
          <w:rFonts w:ascii="Times New Roman" w:hAnsi="Times New Roman" w:cs="Times New Roman"/>
          <w:i/>
        </w:rPr>
        <w:t>không</w:t>
      </w:r>
      <w:r w:rsidR="008D3D44" w:rsidRPr="009146D0">
        <w:rPr>
          <w:rFonts w:ascii="Times New Roman" w:hAnsi="Times New Roman" w:cs="Times New Roman"/>
        </w:rPr>
        <w:t xml:space="preserve"> </w:t>
      </w:r>
      <w:r w:rsidR="006C6759" w:rsidRPr="009146D0">
        <w:rPr>
          <w:rFonts w:ascii="Times New Roman" w:hAnsi="Times New Roman" w:cs="Times New Roman"/>
          <w:i/>
        </w:rPr>
        <w:t>vượt quá phạm vi kháng cáo ban đầu”</w:t>
      </w:r>
      <w:r w:rsidRPr="009146D0">
        <w:rPr>
          <w:rFonts w:ascii="Times New Roman" w:hAnsi="Times New Roman" w:cs="Times New Roman"/>
          <w:i/>
        </w:rPr>
        <w:t xml:space="preserve">. </w:t>
      </w:r>
      <w:r w:rsidRPr="009146D0">
        <w:rPr>
          <w:rFonts w:ascii="Times New Roman" w:hAnsi="Times New Roman" w:cs="Times New Roman"/>
        </w:rPr>
        <w:t>Do vậy, về mặt l</w:t>
      </w:r>
      <w:r w:rsidR="00A4138C" w:rsidRPr="009146D0">
        <w:rPr>
          <w:rFonts w:ascii="Times New Roman" w:hAnsi="Times New Roman" w:cs="Times New Roman"/>
        </w:rPr>
        <w:t>í</w:t>
      </w:r>
      <w:r w:rsidRPr="009146D0">
        <w:rPr>
          <w:rFonts w:ascii="Times New Roman" w:hAnsi="Times New Roman" w:cs="Times New Roman"/>
        </w:rPr>
        <w:t xml:space="preserve"> luận còn những cách hiểu không thống nhất. </w:t>
      </w:r>
      <w:r w:rsidR="00893955" w:rsidRPr="009146D0">
        <w:rPr>
          <w:rFonts w:ascii="Times New Roman" w:hAnsi="Times New Roman" w:cs="Times New Roman"/>
        </w:rPr>
        <w:t xml:space="preserve">Cách hiểu thứ nhất, </w:t>
      </w:r>
      <w:r w:rsidR="007F371B" w:rsidRPr="009146D0">
        <w:rPr>
          <w:rFonts w:ascii="Times New Roman" w:hAnsi="Times New Roman" w:cs="Times New Roman"/>
        </w:rPr>
        <w:t>“</w:t>
      </w:r>
      <w:r w:rsidR="00893955" w:rsidRPr="009146D0">
        <w:rPr>
          <w:rFonts w:ascii="Times New Roman" w:hAnsi="Times New Roman" w:cs="Times New Roman"/>
        </w:rPr>
        <w:t>không vượt quá phạm vi kháng cáo</w:t>
      </w:r>
      <w:r w:rsidR="00A21138" w:rsidRPr="009146D0">
        <w:rPr>
          <w:rFonts w:ascii="Times New Roman" w:hAnsi="Times New Roman" w:cs="Times New Roman"/>
        </w:rPr>
        <w:t>, kháng nghị</w:t>
      </w:r>
      <w:r w:rsidR="00893955" w:rsidRPr="009146D0">
        <w:rPr>
          <w:rFonts w:ascii="Times New Roman" w:hAnsi="Times New Roman" w:cs="Times New Roman"/>
        </w:rPr>
        <w:t xml:space="preserve"> ban đầu</w:t>
      </w:r>
      <w:r w:rsidR="007F371B" w:rsidRPr="009146D0">
        <w:rPr>
          <w:rFonts w:ascii="Times New Roman" w:hAnsi="Times New Roman" w:cs="Times New Roman"/>
        </w:rPr>
        <w:t>”</w:t>
      </w:r>
      <w:r w:rsidR="00893955" w:rsidRPr="009146D0">
        <w:rPr>
          <w:rFonts w:ascii="Times New Roman" w:hAnsi="Times New Roman" w:cs="Times New Roman"/>
        </w:rPr>
        <w:t xml:space="preserve"> là không dẫn đến việc </w:t>
      </w:r>
      <w:r w:rsidR="00A4138C" w:rsidRPr="009146D0">
        <w:rPr>
          <w:rFonts w:ascii="Times New Roman" w:hAnsi="Times New Roman" w:cs="Times New Roman"/>
        </w:rPr>
        <w:t>t</w:t>
      </w:r>
      <w:r w:rsidR="008540FE" w:rsidRPr="009146D0">
        <w:rPr>
          <w:rFonts w:ascii="Times New Roman" w:hAnsi="Times New Roman" w:cs="Times New Roman"/>
        </w:rPr>
        <w:t>oà</w:t>
      </w:r>
      <w:r w:rsidR="00893955" w:rsidRPr="009146D0">
        <w:rPr>
          <w:rFonts w:ascii="Times New Roman" w:hAnsi="Times New Roman" w:cs="Times New Roman"/>
        </w:rPr>
        <w:t xml:space="preserve"> án </w:t>
      </w:r>
      <w:r w:rsidR="00893955" w:rsidRPr="009146D0">
        <w:rPr>
          <w:rFonts w:ascii="Times New Roman" w:hAnsi="Times New Roman" w:cs="Times New Roman"/>
        </w:rPr>
        <w:lastRenderedPageBreak/>
        <w:t xml:space="preserve">cấp phúc thẩm phải hoãn phiên </w:t>
      </w:r>
      <w:r w:rsidR="008540FE" w:rsidRPr="009146D0">
        <w:rPr>
          <w:rFonts w:ascii="Times New Roman" w:hAnsi="Times New Roman" w:cs="Times New Roman"/>
        </w:rPr>
        <w:t>toà</w:t>
      </w:r>
      <w:r w:rsidR="00136745" w:rsidRPr="009146D0">
        <w:rPr>
          <w:rFonts w:ascii="Times New Roman" w:hAnsi="Times New Roman" w:cs="Times New Roman"/>
        </w:rPr>
        <w:t xml:space="preserve">, không làm vượt quá phạm vi các quan hệ pháp luật đã được </w:t>
      </w:r>
      <w:r w:rsidR="000B0037" w:rsidRPr="009146D0">
        <w:rPr>
          <w:rFonts w:ascii="Times New Roman" w:hAnsi="Times New Roman" w:cs="Times New Roman"/>
        </w:rPr>
        <w:t>t</w:t>
      </w:r>
      <w:r w:rsidR="00136745" w:rsidRPr="009146D0">
        <w:rPr>
          <w:rFonts w:ascii="Times New Roman" w:hAnsi="Times New Roman" w:cs="Times New Roman"/>
        </w:rPr>
        <w:t>òa án cấp sơ thẩm giải quyết</w:t>
      </w:r>
      <w:r w:rsidR="00893955" w:rsidRPr="009146D0">
        <w:rPr>
          <w:rStyle w:val="FootnoteReference"/>
          <w:rFonts w:ascii="Times New Roman" w:hAnsi="Times New Roman" w:cs="Times New Roman"/>
          <w:lang w:val="nl-NL"/>
        </w:rPr>
        <w:footnoteReference w:id="10"/>
      </w:r>
      <w:r w:rsidR="00893955" w:rsidRPr="009146D0">
        <w:rPr>
          <w:rFonts w:ascii="Times New Roman" w:hAnsi="Times New Roman" w:cs="Times New Roman"/>
        </w:rPr>
        <w:t>. Cách hiểu này có điểm hợp l</w:t>
      </w:r>
      <w:r w:rsidR="007B497C" w:rsidRPr="009146D0">
        <w:rPr>
          <w:rFonts w:ascii="Times New Roman" w:hAnsi="Times New Roman" w:cs="Times New Roman"/>
        </w:rPr>
        <w:t>í</w:t>
      </w:r>
      <w:r w:rsidR="00893955" w:rsidRPr="009146D0">
        <w:rPr>
          <w:rFonts w:ascii="Times New Roman" w:hAnsi="Times New Roman" w:cs="Times New Roman"/>
        </w:rPr>
        <w:t xml:space="preserve">, đó là không gây khó khăn cho </w:t>
      </w:r>
      <w:r w:rsidR="00587F80" w:rsidRPr="009146D0">
        <w:rPr>
          <w:rFonts w:ascii="Times New Roman" w:hAnsi="Times New Roman" w:cs="Times New Roman"/>
        </w:rPr>
        <w:t>T</w:t>
      </w:r>
      <w:r w:rsidR="008540FE" w:rsidRPr="009146D0">
        <w:rPr>
          <w:rFonts w:ascii="Times New Roman" w:hAnsi="Times New Roman" w:cs="Times New Roman"/>
        </w:rPr>
        <w:t>oà</w:t>
      </w:r>
      <w:r w:rsidR="00893955" w:rsidRPr="009146D0">
        <w:rPr>
          <w:rFonts w:ascii="Times New Roman" w:hAnsi="Times New Roman" w:cs="Times New Roman"/>
        </w:rPr>
        <w:t xml:space="preserve"> án trong việc xác định</w:t>
      </w:r>
      <w:r w:rsidR="00136745" w:rsidRPr="009146D0">
        <w:rPr>
          <w:rFonts w:ascii="Times New Roman" w:hAnsi="Times New Roman" w:cs="Times New Roman"/>
        </w:rPr>
        <w:t xml:space="preserve"> sự hợp </w:t>
      </w:r>
      <w:r w:rsidR="000B0037" w:rsidRPr="009146D0">
        <w:rPr>
          <w:rFonts w:ascii="Times New Roman" w:hAnsi="Times New Roman" w:cs="Times New Roman"/>
        </w:rPr>
        <w:t>lí</w:t>
      </w:r>
      <w:r w:rsidR="00587F80" w:rsidRPr="009146D0">
        <w:rPr>
          <w:rFonts w:ascii="Times New Roman" w:hAnsi="Times New Roman" w:cs="Times New Roman"/>
        </w:rPr>
        <w:t xml:space="preserve"> </w:t>
      </w:r>
      <w:r w:rsidR="00136745" w:rsidRPr="009146D0">
        <w:rPr>
          <w:rFonts w:ascii="Times New Roman" w:hAnsi="Times New Roman" w:cs="Times New Roman"/>
        </w:rPr>
        <w:t>của các kháng cáo có bổ sung,</w:t>
      </w:r>
      <w:r w:rsidR="00893955" w:rsidRPr="009146D0">
        <w:rPr>
          <w:rFonts w:ascii="Times New Roman" w:hAnsi="Times New Roman" w:cs="Times New Roman"/>
        </w:rPr>
        <w:t xml:space="preserve"> </w:t>
      </w:r>
      <w:r w:rsidR="00E23367" w:rsidRPr="009146D0">
        <w:rPr>
          <w:rFonts w:ascii="Times New Roman" w:hAnsi="Times New Roman" w:cs="Times New Roman"/>
        </w:rPr>
        <w:t xml:space="preserve">không </w:t>
      </w:r>
      <w:r w:rsidR="00893955" w:rsidRPr="009146D0">
        <w:rPr>
          <w:rFonts w:ascii="Times New Roman" w:hAnsi="Times New Roman" w:cs="Times New Roman"/>
        </w:rPr>
        <w:t>vượt quá phạm vi kháng cáo ban đầu</w:t>
      </w:r>
      <w:r w:rsidR="00136745" w:rsidRPr="009146D0">
        <w:rPr>
          <w:rFonts w:ascii="Times New Roman" w:hAnsi="Times New Roman" w:cs="Times New Roman"/>
        </w:rPr>
        <w:t xml:space="preserve"> là</w:t>
      </w:r>
      <w:r w:rsidR="00893955" w:rsidRPr="009146D0">
        <w:rPr>
          <w:rFonts w:ascii="Times New Roman" w:hAnsi="Times New Roman" w:cs="Times New Roman"/>
        </w:rPr>
        <w:t xml:space="preserve"> không vượt quá phạm vi giá trị các yêu cầu cụ thể được nêu trong kháng cáo. Tuy nhiên, cách hiểu này </w:t>
      </w:r>
      <w:r w:rsidR="00884E53" w:rsidRPr="009146D0">
        <w:rPr>
          <w:rFonts w:ascii="Times New Roman" w:hAnsi="Times New Roman" w:cs="Times New Roman"/>
        </w:rPr>
        <w:t xml:space="preserve">chưa triệt để, </w:t>
      </w:r>
      <w:r w:rsidR="00893955" w:rsidRPr="009146D0">
        <w:rPr>
          <w:rFonts w:ascii="Times New Roman" w:hAnsi="Times New Roman" w:cs="Times New Roman"/>
        </w:rPr>
        <w:t xml:space="preserve">chỉ áp dụng đối với trường hợp thay đổi, bổ sung kháng cáo ở tại phiên </w:t>
      </w:r>
      <w:r w:rsidR="008540FE" w:rsidRPr="009146D0">
        <w:rPr>
          <w:rFonts w:ascii="Times New Roman" w:hAnsi="Times New Roman" w:cs="Times New Roman"/>
        </w:rPr>
        <w:t>toà</w:t>
      </w:r>
      <w:r w:rsidR="00893955" w:rsidRPr="009146D0">
        <w:rPr>
          <w:rFonts w:ascii="Times New Roman" w:hAnsi="Times New Roman" w:cs="Times New Roman"/>
        </w:rPr>
        <w:t xml:space="preserve"> phúc thẩm. Trong khi đó, việc thay đổi, bổ sung kháng cáo còn được thực hiện ở giai đoạn trước khi mở phiên </w:t>
      </w:r>
      <w:r w:rsidR="008540FE" w:rsidRPr="009146D0">
        <w:rPr>
          <w:rFonts w:ascii="Times New Roman" w:hAnsi="Times New Roman" w:cs="Times New Roman"/>
        </w:rPr>
        <w:t>toà</w:t>
      </w:r>
      <w:r w:rsidR="00893955" w:rsidRPr="009146D0">
        <w:rPr>
          <w:rFonts w:ascii="Times New Roman" w:hAnsi="Times New Roman" w:cs="Times New Roman"/>
        </w:rPr>
        <w:t xml:space="preserve"> xét xử phúc thẩm. </w:t>
      </w:r>
      <w:r w:rsidR="00893955" w:rsidRPr="009146D0">
        <w:rPr>
          <w:rFonts w:ascii="Times New Roman" w:hAnsi="Times New Roman" w:cs="Times New Roman"/>
          <w:iCs/>
        </w:rPr>
        <w:t>Cách hiểu thứ hai</w:t>
      </w:r>
      <w:r w:rsidR="00893955" w:rsidRPr="009146D0">
        <w:rPr>
          <w:rFonts w:ascii="Times New Roman" w:hAnsi="Times New Roman" w:cs="Times New Roman"/>
        </w:rPr>
        <w:t>,</w:t>
      </w:r>
      <w:r w:rsidR="008C4D19" w:rsidRPr="009146D0">
        <w:rPr>
          <w:rFonts w:ascii="Times New Roman" w:hAnsi="Times New Roman" w:cs="Times New Roman"/>
        </w:rPr>
        <w:t xml:space="preserve"> đây là cách hiểu </w:t>
      </w:r>
      <w:r w:rsidR="00587F80" w:rsidRPr="009146D0">
        <w:rPr>
          <w:rFonts w:ascii="Times New Roman" w:hAnsi="Times New Roman" w:cs="Times New Roman"/>
        </w:rPr>
        <w:t>tiếp cận theo lĩnh vực tố tụng dân sự nhưng có điểm tương thích và phù hợp với tố tụng hành chính</w:t>
      </w:r>
      <w:r w:rsidR="00893955" w:rsidRPr="009146D0">
        <w:rPr>
          <w:rFonts w:ascii="Times New Roman" w:hAnsi="Times New Roman" w:cs="Times New Roman"/>
        </w:rPr>
        <w:t xml:space="preserve"> </w:t>
      </w:r>
      <w:r w:rsidR="007F371B" w:rsidRPr="009146D0">
        <w:rPr>
          <w:rFonts w:ascii="Times New Roman" w:hAnsi="Times New Roman" w:cs="Times New Roman"/>
        </w:rPr>
        <w:t>“</w:t>
      </w:r>
      <w:r w:rsidR="002755E3" w:rsidRPr="009146D0">
        <w:rPr>
          <w:rFonts w:ascii="Times New Roman" w:hAnsi="Times New Roman" w:cs="Times New Roman"/>
        </w:rPr>
        <w:t>không</w:t>
      </w:r>
      <w:r w:rsidR="00893955" w:rsidRPr="009146D0">
        <w:rPr>
          <w:rFonts w:ascii="Times New Roman" w:hAnsi="Times New Roman" w:cs="Times New Roman"/>
        </w:rPr>
        <w:t xml:space="preserve"> vượt quá phạm vi kháng cáo ban đầu</w:t>
      </w:r>
      <w:r w:rsidR="007F371B" w:rsidRPr="009146D0">
        <w:rPr>
          <w:rFonts w:ascii="Times New Roman" w:hAnsi="Times New Roman" w:cs="Times New Roman"/>
        </w:rPr>
        <w:t>”</w:t>
      </w:r>
      <w:r w:rsidR="00893955" w:rsidRPr="009146D0">
        <w:rPr>
          <w:rFonts w:ascii="Times New Roman" w:hAnsi="Times New Roman" w:cs="Times New Roman"/>
        </w:rPr>
        <w:t xml:space="preserve"> là không đưa thêm yêu cầu, không làm tăng thêm giá trị yêu cầu</w:t>
      </w:r>
      <w:r w:rsidR="006F1D18" w:rsidRPr="009146D0">
        <w:rPr>
          <w:rFonts w:ascii="Times New Roman" w:hAnsi="Times New Roman" w:cs="Times New Roman"/>
        </w:rPr>
        <w:t>, không vượt ra ngoài các nội dung cụ thể và trong mỗi nội dung cụ thể không vượt quá mức độ, quy mô đã được đặt ra yêu cầu ban đầu của nộ</w:t>
      </w:r>
      <w:r w:rsidR="00341189" w:rsidRPr="009146D0">
        <w:rPr>
          <w:rFonts w:ascii="Times New Roman" w:hAnsi="Times New Roman" w:cs="Times New Roman"/>
        </w:rPr>
        <w:t>i dung kháng</w:t>
      </w:r>
      <w:r w:rsidR="006F1D18" w:rsidRPr="009146D0">
        <w:rPr>
          <w:rStyle w:val="FootnoteReference"/>
          <w:rFonts w:ascii="Times New Roman" w:hAnsi="Times New Roman" w:cs="Times New Roman"/>
          <w:lang w:val="nl-NL"/>
        </w:rPr>
        <w:footnoteReference w:id="11"/>
      </w:r>
      <w:r w:rsidR="00893955" w:rsidRPr="009146D0">
        <w:rPr>
          <w:rFonts w:ascii="Times New Roman" w:hAnsi="Times New Roman" w:cs="Times New Roman"/>
        </w:rPr>
        <w:t xml:space="preserve">. </w:t>
      </w:r>
      <w:r w:rsidR="00215D85" w:rsidRPr="009146D0">
        <w:rPr>
          <w:rFonts w:ascii="Times New Roman" w:hAnsi="Times New Roman" w:cs="Times New Roman"/>
        </w:rPr>
        <w:t>M</w:t>
      </w:r>
      <w:r w:rsidR="00545A52" w:rsidRPr="009146D0">
        <w:rPr>
          <w:rFonts w:ascii="Times New Roman" w:hAnsi="Times New Roman" w:cs="Times New Roman"/>
        </w:rPr>
        <w:t xml:space="preserve">ặc dù </w:t>
      </w:r>
      <w:r w:rsidR="00DB746B" w:rsidRPr="009146D0">
        <w:rPr>
          <w:rFonts w:ascii="Times New Roman" w:hAnsi="Times New Roman" w:cs="Times New Roman"/>
        </w:rPr>
        <w:t xml:space="preserve">cách hiểu này </w:t>
      </w:r>
      <w:r w:rsidR="00545A52" w:rsidRPr="009146D0">
        <w:rPr>
          <w:rFonts w:ascii="Times New Roman" w:hAnsi="Times New Roman" w:cs="Times New Roman"/>
        </w:rPr>
        <w:t xml:space="preserve">có nhắc đến tính vượt </w:t>
      </w:r>
      <w:r w:rsidR="00CC580C" w:rsidRPr="009146D0">
        <w:rPr>
          <w:rFonts w:ascii="Times New Roman" w:hAnsi="Times New Roman" w:cs="Times New Roman"/>
        </w:rPr>
        <w:t>quá</w:t>
      </w:r>
      <w:r w:rsidR="00545A52" w:rsidRPr="009146D0">
        <w:rPr>
          <w:rFonts w:ascii="Times New Roman" w:hAnsi="Times New Roman" w:cs="Times New Roman"/>
        </w:rPr>
        <w:t xml:space="preserve"> phạ</w:t>
      </w:r>
      <w:r w:rsidR="00DB746B" w:rsidRPr="009146D0">
        <w:rPr>
          <w:rFonts w:ascii="Times New Roman" w:hAnsi="Times New Roman" w:cs="Times New Roman"/>
        </w:rPr>
        <w:t>m vi kháng cáo nhưng mới dừng lại</w:t>
      </w:r>
      <w:r w:rsidR="00545A52" w:rsidRPr="009146D0">
        <w:rPr>
          <w:rFonts w:ascii="Times New Roman" w:hAnsi="Times New Roman" w:cs="Times New Roman"/>
        </w:rPr>
        <w:t xml:space="preserve"> ở mức</w:t>
      </w:r>
      <w:r w:rsidR="00893955" w:rsidRPr="009146D0">
        <w:rPr>
          <w:rFonts w:ascii="Times New Roman" w:hAnsi="Times New Roman" w:cs="Times New Roman"/>
        </w:rPr>
        <w:t xml:space="preserve"> chung chung, </w:t>
      </w:r>
      <w:r w:rsidR="00DB746B" w:rsidRPr="009146D0">
        <w:rPr>
          <w:rFonts w:ascii="Times New Roman" w:hAnsi="Times New Roman" w:cs="Times New Roman"/>
        </w:rPr>
        <w:t>chưa</w:t>
      </w:r>
      <w:r w:rsidR="00893955" w:rsidRPr="009146D0">
        <w:rPr>
          <w:rFonts w:ascii="Times New Roman" w:hAnsi="Times New Roman" w:cs="Times New Roman"/>
        </w:rPr>
        <w:t xml:space="preserve"> cụ thể</w:t>
      </w:r>
      <w:r w:rsidR="00DB746B" w:rsidRPr="009146D0">
        <w:rPr>
          <w:rFonts w:ascii="Times New Roman" w:hAnsi="Times New Roman" w:cs="Times New Roman"/>
        </w:rPr>
        <w:t>, không làm rõ</w:t>
      </w:r>
      <w:r w:rsidR="00893955" w:rsidRPr="009146D0">
        <w:rPr>
          <w:rFonts w:ascii="Times New Roman" w:hAnsi="Times New Roman" w:cs="Times New Roman"/>
        </w:rPr>
        <w:t xml:space="preserve"> được yếu tố </w:t>
      </w:r>
      <w:r w:rsidR="00CD1EA6" w:rsidRPr="009146D0">
        <w:rPr>
          <w:rFonts w:ascii="Times New Roman" w:hAnsi="Times New Roman" w:cs="Times New Roman"/>
        </w:rPr>
        <w:t xml:space="preserve">cốt lõi </w:t>
      </w:r>
      <w:r w:rsidR="00893955" w:rsidRPr="009146D0">
        <w:rPr>
          <w:rFonts w:ascii="Times New Roman" w:hAnsi="Times New Roman" w:cs="Times New Roman"/>
        </w:rPr>
        <w:t>của phạm vi kháng cáo ban đầ</w:t>
      </w:r>
      <w:r w:rsidR="00DB746B" w:rsidRPr="009146D0">
        <w:rPr>
          <w:rFonts w:ascii="Times New Roman" w:hAnsi="Times New Roman" w:cs="Times New Roman"/>
        </w:rPr>
        <w:t>u</w:t>
      </w:r>
      <w:r w:rsidR="006F1D18" w:rsidRPr="009146D0">
        <w:rPr>
          <w:rFonts w:ascii="Times New Roman" w:hAnsi="Times New Roman" w:cs="Times New Roman"/>
        </w:rPr>
        <w:t xml:space="preserve"> là giới hạn của yêu cầu kháng cáo trong đơn kháng cáo hay là giới hạn yêu cầu kháng cáo được bổ sung, thay đổi ở thời điểm còn thời hạn kháng cáo </w:t>
      </w:r>
      <w:r w:rsidR="00DB746B" w:rsidRPr="009146D0">
        <w:rPr>
          <w:rFonts w:ascii="Times New Roman" w:hAnsi="Times New Roman" w:cs="Times New Roman"/>
        </w:rPr>
        <w:t>nên</w:t>
      </w:r>
      <w:r w:rsidR="007F371B" w:rsidRPr="009146D0">
        <w:rPr>
          <w:rFonts w:ascii="Times New Roman" w:hAnsi="Times New Roman" w:cs="Times New Roman"/>
        </w:rPr>
        <w:t xml:space="preserve"> cũng</w:t>
      </w:r>
      <w:r w:rsidR="00DB746B" w:rsidRPr="009146D0">
        <w:rPr>
          <w:rFonts w:ascii="Times New Roman" w:hAnsi="Times New Roman" w:cs="Times New Roman"/>
        </w:rPr>
        <w:t xml:space="preserve"> </w:t>
      </w:r>
      <w:r w:rsidR="006F1D18" w:rsidRPr="009146D0">
        <w:rPr>
          <w:rFonts w:ascii="Times New Roman" w:hAnsi="Times New Roman" w:cs="Times New Roman"/>
        </w:rPr>
        <w:t xml:space="preserve">khó </w:t>
      </w:r>
      <w:r w:rsidR="006F1D18" w:rsidRPr="009146D0">
        <w:rPr>
          <w:rFonts w:ascii="Times New Roman" w:hAnsi="Times New Roman" w:cs="Times New Roman"/>
        </w:rPr>
        <w:lastRenderedPageBreak/>
        <w:t xml:space="preserve">có </w:t>
      </w:r>
      <w:r w:rsidR="00DB746B" w:rsidRPr="009146D0">
        <w:rPr>
          <w:rFonts w:ascii="Times New Roman" w:hAnsi="Times New Roman" w:cs="Times New Roman"/>
        </w:rPr>
        <w:t>thể thừa nhậ</w:t>
      </w:r>
      <w:r w:rsidR="006F1D18" w:rsidRPr="009146D0">
        <w:rPr>
          <w:rFonts w:ascii="Times New Roman" w:hAnsi="Times New Roman" w:cs="Times New Roman"/>
        </w:rPr>
        <w:t>n cách hiểu thứ hai</w:t>
      </w:r>
      <w:r w:rsidR="00DB746B" w:rsidRPr="009146D0">
        <w:rPr>
          <w:rFonts w:ascii="Times New Roman" w:hAnsi="Times New Roman" w:cs="Times New Roman"/>
        </w:rPr>
        <w:t xml:space="preserve"> là cách </w:t>
      </w:r>
      <w:r w:rsidR="006F1D18" w:rsidRPr="009146D0">
        <w:rPr>
          <w:rFonts w:ascii="Times New Roman" w:hAnsi="Times New Roman" w:cs="Times New Roman"/>
        </w:rPr>
        <w:t xml:space="preserve">giải thích </w:t>
      </w:r>
      <w:r w:rsidR="00DB746B" w:rsidRPr="009146D0">
        <w:rPr>
          <w:rFonts w:ascii="Times New Roman" w:hAnsi="Times New Roman" w:cs="Times New Roman"/>
        </w:rPr>
        <w:t>chính thống và đầy đủ nhất được.</w:t>
      </w:r>
    </w:p>
    <w:p w:rsidR="00583CDF" w:rsidRPr="009146D0" w:rsidRDefault="00CD1EA6" w:rsidP="00556EA0">
      <w:pPr>
        <w:widowControl w:val="0"/>
        <w:autoSpaceDE w:val="0"/>
        <w:autoSpaceDN w:val="0"/>
        <w:adjustRightInd w:val="0"/>
        <w:spacing w:line="274" w:lineRule="auto"/>
        <w:ind w:firstLine="369"/>
        <w:jc w:val="both"/>
        <w:rPr>
          <w:rFonts w:ascii="Times New Roman" w:hAnsi="Times New Roman" w:cs="Times New Roman"/>
        </w:rPr>
      </w:pPr>
      <w:r w:rsidRPr="009146D0">
        <w:rPr>
          <w:rFonts w:ascii="Times New Roman" w:hAnsi="Times New Roman" w:cs="Times New Roman"/>
        </w:rPr>
        <w:t>Xuất phát từ</w:t>
      </w:r>
      <w:r w:rsidR="00D73E34" w:rsidRPr="009146D0">
        <w:rPr>
          <w:rFonts w:ascii="Times New Roman" w:hAnsi="Times New Roman" w:cs="Times New Roman"/>
        </w:rPr>
        <w:t xml:space="preserve"> các </w:t>
      </w:r>
      <w:r w:rsidR="00CC580C" w:rsidRPr="009146D0">
        <w:rPr>
          <w:rFonts w:ascii="Times New Roman" w:hAnsi="Times New Roman" w:cs="Times New Roman"/>
        </w:rPr>
        <w:t>lí</w:t>
      </w:r>
      <w:r w:rsidRPr="009146D0">
        <w:rPr>
          <w:rFonts w:ascii="Times New Roman" w:hAnsi="Times New Roman" w:cs="Times New Roman"/>
        </w:rPr>
        <w:t xml:space="preserve"> giải</w:t>
      </w:r>
      <w:r w:rsidR="00D73E34" w:rsidRPr="009146D0">
        <w:rPr>
          <w:rFonts w:ascii="Times New Roman" w:hAnsi="Times New Roman" w:cs="Times New Roman"/>
        </w:rPr>
        <w:t xml:space="preserve"> trên</w:t>
      </w:r>
      <w:r w:rsidR="006C6759" w:rsidRPr="009146D0">
        <w:rPr>
          <w:rFonts w:ascii="Times New Roman" w:hAnsi="Times New Roman" w:cs="Times New Roman"/>
        </w:rPr>
        <w:t xml:space="preserve">, tác giả cho rằng </w:t>
      </w:r>
      <w:r w:rsidRPr="009146D0">
        <w:rPr>
          <w:rFonts w:ascii="Times New Roman" w:hAnsi="Times New Roman" w:cs="Times New Roman"/>
        </w:rPr>
        <w:t xml:space="preserve">việc đưa ra </w:t>
      </w:r>
      <w:r w:rsidR="007F371B" w:rsidRPr="009146D0">
        <w:rPr>
          <w:rFonts w:ascii="Times New Roman" w:hAnsi="Times New Roman" w:cs="Times New Roman"/>
        </w:rPr>
        <w:t xml:space="preserve">định nghĩa cụ thể, chính xác </w:t>
      </w:r>
      <w:r w:rsidRPr="009146D0">
        <w:rPr>
          <w:rFonts w:ascii="Times New Roman" w:hAnsi="Times New Roman" w:cs="Times New Roman"/>
        </w:rPr>
        <w:t xml:space="preserve">thế nào là việc </w:t>
      </w:r>
      <w:r w:rsidR="007F371B" w:rsidRPr="009146D0">
        <w:rPr>
          <w:rFonts w:ascii="Times New Roman" w:hAnsi="Times New Roman" w:cs="Times New Roman"/>
        </w:rPr>
        <w:t>“</w:t>
      </w:r>
      <w:r w:rsidRPr="009146D0">
        <w:rPr>
          <w:rFonts w:ascii="Times New Roman" w:hAnsi="Times New Roman" w:cs="Times New Roman"/>
        </w:rPr>
        <w:t>thay đổi, bổ sung kháng cáo không vượt quá phạm vi kháng cáo ban đầu</w:t>
      </w:r>
      <w:r w:rsidR="007F371B" w:rsidRPr="009146D0">
        <w:rPr>
          <w:rFonts w:ascii="Times New Roman" w:hAnsi="Times New Roman" w:cs="Times New Roman"/>
        </w:rPr>
        <w:t>”</w:t>
      </w:r>
      <w:r w:rsidRPr="009146D0">
        <w:rPr>
          <w:rFonts w:ascii="Times New Roman" w:hAnsi="Times New Roman" w:cs="Times New Roman"/>
        </w:rPr>
        <w:t xml:space="preserve"> không hề </w:t>
      </w:r>
      <w:r w:rsidR="007F371B" w:rsidRPr="009146D0">
        <w:rPr>
          <w:rFonts w:ascii="Times New Roman" w:hAnsi="Times New Roman" w:cs="Times New Roman"/>
        </w:rPr>
        <w:t xml:space="preserve">đơn giản, đòi hỏi </w:t>
      </w:r>
      <w:r w:rsidR="002755E3" w:rsidRPr="009146D0">
        <w:rPr>
          <w:rFonts w:ascii="Times New Roman" w:hAnsi="Times New Roman" w:cs="Times New Roman"/>
        </w:rPr>
        <w:t xml:space="preserve">phải </w:t>
      </w:r>
      <w:r w:rsidR="007F371B" w:rsidRPr="009146D0">
        <w:rPr>
          <w:rFonts w:ascii="Times New Roman" w:hAnsi="Times New Roman" w:cs="Times New Roman"/>
        </w:rPr>
        <w:t xml:space="preserve">có sự </w:t>
      </w:r>
      <w:r w:rsidR="00923601" w:rsidRPr="009146D0">
        <w:rPr>
          <w:rFonts w:ascii="Times New Roman" w:hAnsi="Times New Roman" w:cs="Times New Roman"/>
        </w:rPr>
        <w:t>nghiên cứu</w:t>
      </w:r>
      <w:r w:rsidR="007F371B" w:rsidRPr="009146D0">
        <w:rPr>
          <w:rFonts w:ascii="Times New Roman" w:hAnsi="Times New Roman" w:cs="Times New Roman"/>
        </w:rPr>
        <w:t xml:space="preserve"> </w:t>
      </w:r>
      <w:r w:rsidR="00F025DB" w:rsidRPr="009146D0">
        <w:rPr>
          <w:rFonts w:ascii="Times New Roman" w:hAnsi="Times New Roman" w:cs="Times New Roman"/>
        </w:rPr>
        <w:t xml:space="preserve">kĩ lưỡng </w:t>
      </w:r>
      <w:r w:rsidR="002755E3" w:rsidRPr="009146D0">
        <w:rPr>
          <w:rFonts w:ascii="Times New Roman" w:hAnsi="Times New Roman" w:cs="Times New Roman"/>
        </w:rPr>
        <w:t xml:space="preserve">trên </w:t>
      </w:r>
      <w:r w:rsidR="00864099" w:rsidRPr="009146D0">
        <w:rPr>
          <w:rFonts w:ascii="Times New Roman" w:hAnsi="Times New Roman" w:cs="Times New Roman"/>
        </w:rPr>
        <w:t xml:space="preserve">cả </w:t>
      </w:r>
      <w:r w:rsidR="002755E3" w:rsidRPr="009146D0">
        <w:rPr>
          <w:rFonts w:ascii="Times New Roman" w:hAnsi="Times New Roman" w:cs="Times New Roman"/>
        </w:rPr>
        <w:t>phương diện</w:t>
      </w:r>
      <w:r w:rsidR="00DA1A84" w:rsidRPr="009146D0">
        <w:rPr>
          <w:rFonts w:ascii="Times New Roman" w:hAnsi="Times New Roman" w:cs="Times New Roman"/>
        </w:rPr>
        <w:t xml:space="preserve"> lí</w:t>
      </w:r>
      <w:r w:rsidR="00864099" w:rsidRPr="009146D0">
        <w:rPr>
          <w:rFonts w:ascii="Times New Roman" w:hAnsi="Times New Roman" w:cs="Times New Roman"/>
        </w:rPr>
        <w:t xml:space="preserve"> luận lẫn</w:t>
      </w:r>
      <w:r w:rsidR="002755E3" w:rsidRPr="009146D0">
        <w:rPr>
          <w:rFonts w:ascii="Times New Roman" w:hAnsi="Times New Roman" w:cs="Times New Roman"/>
        </w:rPr>
        <w:t xml:space="preserve"> thực tiễn xét xử</w:t>
      </w:r>
      <w:r w:rsidRPr="009146D0">
        <w:rPr>
          <w:rFonts w:ascii="Times New Roman" w:hAnsi="Times New Roman" w:cs="Times New Roman"/>
        </w:rPr>
        <w:t>. Bởi lẽ</w:t>
      </w:r>
      <w:r w:rsidR="007F371B" w:rsidRPr="009146D0">
        <w:rPr>
          <w:rFonts w:ascii="Times New Roman" w:hAnsi="Times New Roman" w:cs="Times New Roman"/>
        </w:rPr>
        <w:t xml:space="preserve">, </w:t>
      </w:r>
      <w:r w:rsidR="00923601" w:rsidRPr="009146D0">
        <w:rPr>
          <w:rFonts w:ascii="Times New Roman" w:hAnsi="Times New Roman" w:cs="Times New Roman"/>
        </w:rPr>
        <w:t>nếu giả</w:t>
      </w:r>
      <w:r w:rsidR="00A7627C" w:rsidRPr="009146D0">
        <w:rPr>
          <w:rFonts w:ascii="Times New Roman" w:hAnsi="Times New Roman" w:cs="Times New Roman"/>
        </w:rPr>
        <w:t>i thích thiếu</w:t>
      </w:r>
      <w:r w:rsidR="00923601" w:rsidRPr="009146D0">
        <w:rPr>
          <w:rFonts w:ascii="Times New Roman" w:hAnsi="Times New Roman" w:cs="Times New Roman"/>
        </w:rPr>
        <w:t xml:space="preserve"> chính xác</w:t>
      </w:r>
      <w:r w:rsidR="00A7627C" w:rsidRPr="009146D0">
        <w:rPr>
          <w:rFonts w:ascii="Times New Roman" w:hAnsi="Times New Roman" w:cs="Times New Roman"/>
        </w:rPr>
        <w:t xml:space="preserve"> </w:t>
      </w:r>
      <w:r w:rsidR="00923601" w:rsidRPr="009146D0">
        <w:rPr>
          <w:rFonts w:ascii="Times New Roman" w:hAnsi="Times New Roman" w:cs="Times New Roman"/>
        </w:rPr>
        <w:t xml:space="preserve">sẽ ảnh hưởng nghiêm trọng đến </w:t>
      </w:r>
      <w:r w:rsidR="00F71CD3" w:rsidRPr="009146D0">
        <w:rPr>
          <w:rFonts w:ascii="Times New Roman" w:hAnsi="Times New Roman" w:cs="Times New Roman"/>
        </w:rPr>
        <w:t xml:space="preserve">hoạt động xét xử phúc thẩm của </w:t>
      </w:r>
      <w:r w:rsidR="0079367D" w:rsidRPr="009146D0">
        <w:rPr>
          <w:rFonts w:ascii="Times New Roman" w:hAnsi="Times New Roman" w:cs="Times New Roman"/>
        </w:rPr>
        <w:t xml:space="preserve">các </w:t>
      </w:r>
      <w:r w:rsidR="009037EC" w:rsidRPr="009146D0">
        <w:rPr>
          <w:rFonts w:ascii="Times New Roman" w:hAnsi="Times New Roman" w:cs="Times New Roman"/>
        </w:rPr>
        <w:t>t</w:t>
      </w:r>
      <w:r w:rsidR="008540FE" w:rsidRPr="009146D0">
        <w:rPr>
          <w:rFonts w:ascii="Times New Roman" w:hAnsi="Times New Roman" w:cs="Times New Roman"/>
        </w:rPr>
        <w:t>oà</w:t>
      </w:r>
      <w:r w:rsidR="00F71CD3" w:rsidRPr="009146D0">
        <w:rPr>
          <w:rFonts w:ascii="Times New Roman" w:hAnsi="Times New Roman" w:cs="Times New Roman"/>
        </w:rPr>
        <w:t xml:space="preserve"> án</w:t>
      </w:r>
      <w:r w:rsidR="0079367D" w:rsidRPr="009146D0">
        <w:rPr>
          <w:rFonts w:ascii="Times New Roman" w:hAnsi="Times New Roman" w:cs="Times New Roman"/>
        </w:rPr>
        <w:t>,</w:t>
      </w:r>
      <w:r w:rsidR="00F71CD3" w:rsidRPr="009146D0">
        <w:rPr>
          <w:rFonts w:ascii="Times New Roman" w:hAnsi="Times New Roman" w:cs="Times New Roman"/>
        </w:rPr>
        <w:t xml:space="preserve"> </w:t>
      </w:r>
      <w:r w:rsidR="0079367D" w:rsidRPr="009146D0">
        <w:rPr>
          <w:rFonts w:ascii="Times New Roman" w:hAnsi="Times New Roman" w:cs="Times New Roman"/>
        </w:rPr>
        <w:t xml:space="preserve">đến </w:t>
      </w:r>
      <w:r w:rsidR="00923601" w:rsidRPr="009146D0">
        <w:rPr>
          <w:rFonts w:ascii="Times New Roman" w:hAnsi="Times New Roman" w:cs="Times New Roman"/>
        </w:rPr>
        <w:t>quyền của người kháng cáo</w:t>
      </w:r>
      <w:r w:rsidR="00F71CD3" w:rsidRPr="009146D0">
        <w:rPr>
          <w:rFonts w:ascii="Times New Roman" w:hAnsi="Times New Roman" w:cs="Times New Roman"/>
        </w:rPr>
        <w:t>. Xét từ góc độ l</w:t>
      </w:r>
      <w:r w:rsidR="009037EC" w:rsidRPr="009146D0">
        <w:rPr>
          <w:rFonts w:ascii="Times New Roman" w:hAnsi="Times New Roman" w:cs="Times New Roman"/>
        </w:rPr>
        <w:t>í</w:t>
      </w:r>
      <w:r w:rsidR="00F71CD3" w:rsidRPr="009146D0">
        <w:rPr>
          <w:rFonts w:ascii="Times New Roman" w:hAnsi="Times New Roman" w:cs="Times New Roman"/>
        </w:rPr>
        <w:t xml:space="preserve"> luận</w:t>
      </w:r>
      <w:r w:rsidR="00864099" w:rsidRPr="009146D0">
        <w:rPr>
          <w:rFonts w:ascii="Times New Roman" w:hAnsi="Times New Roman" w:cs="Times New Roman"/>
        </w:rPr>
        <w:t xml:space="preserve"> và thông qua việc nghiên cứu các bản án phúc thẩm</w:t>
      </w:r>
      <w:r w:rsidR="0000612F" w:rsidRPr="009146D0">
        <w:rPr>
          <w:rFonts w:ascii="Times New Roman" w:hAnsi="Times New Roman" w:cs="Times New Roman"/>
        </w:rPr>
        <w:t xml:space="preserve"> trên thực tế</w:t>
      </w:r>
      <w:r w:rsidR="0000612F" w:rsidRPr="009146D0">
        <w:rPr>
          <w:rStyle w:val="FootnoteReference"/>
          <w:rFonts w:ascii="Times New Roman" w:hAnsi="Times New Roman" w:cs="Times New Roman"/>
          <w:lang w:val="nl-NL"/>
        </w:rPr>
        <w:footnoteReference w:id="12"/>
      </w:r>
      <w:r w:rsidR="00F71CD3" w:rsidRPr="009146D0">
        <w:rPr>
          <w:rFonts w:ascii="Times New Roman" w:hAnsi="Times New Roman" w:cs="Times New Roman"/>
        </w:rPr>
        <w:t xml:space="preserve">, </w:t>
      </w:r>
      <w:r w:rsidR="00A37D50" w:rsidRPr="009146D0">
        <w:rPr>
          <w:rFonts w:ascii="Times New Roman" w:hAnsi="Times New Roman" w:cs="Times New Roman"/>
        </w:rPr>
        <w:t>tác giả</w:t>
      </w:r>
      <w:r w:rsidR="0000612F" w:rsidRPr="009146D0">
        <w:rPr>
          <w:rFonts w:ascii="Times New Roman" w:hAnsi="Times New Roman" w:cs="Times New Roman"/>
        </w:rPr>
        <w:t xml:space="preserve"> </w:t>
      </w:r>
      <w:r w:rsidR="00A37D50" w:rsidRPr="009146D0">
        <w:rPr>
          <w:rFonts w:ascii="Times New Roman" w:hAnsi="Times New Roman" w:cs="Times New Roman"/>
        </w:rPr>
        <w:t xml:space="preserve">nhận </w:t>
      </w:r>
      <w:r w:rsidR="0000612F" w:rsidRPr="009146D0">
        <w:rPr>
          <w:rFonts w:ascii="Times New Roman" w:hAnsi="Times New Roman" w:cs="Times New Roman"/>
        </w:rPr>
        <w:t xml:space="preserve">thấy: </w:t>
      </w:r>
      <w:r w:rsidR="00C470FE" w:rsidRPr="009146D0">
        <w:rPr>
          <w:rFonts w:ascii="Times New Roman" w:hAnsi="Times New Roman" w:cs="Times New Roman"/>
        </w:rPr>
        <w:t xml:space="preserve">khi </w:t>
      </w:r>
      <w:r w:rsidR="00872ACD" w:rsidRPr="009146D0">
        <w:rPr>
          <w:rFonts w:ascii="Times New Roman" w:hAnsi="Times New Roman" w:cs="Times New Roman"/>
        </w:rPr>
        <w:t>t</w:t>
      </w:r>
      <w:r w:rsidR="008540FE" w:rsidRPr="009146D0">
        <w:rPr>
          <w:rFonts w:ascii="Times New Roman" w:hAnsi="Times New Roman" w:cs="Times New Roman"/>
        </w:rPr>
        <w:t>oà</w:t>
      </w:r>
      <w:r w:rsidR="0000612F" w:rsidRPr="009146D0">
        <w:rPr>
          <w:rFonts w:ascii="Times New Roman" w:hAnsi="Times New Roman" w:cs="Times New Roman"/>
        </w:rPr>
        <w:t xml:space="preserve"> án </w:t>
      </w:r>
      <w:r w:rsidR="00C470FE" w:rsidRPr="009146D0">
        <w:rPr>
          <w:rFonts w:ascii="Times New Roman" w:hAnsi="Times New Roman" w:cs="Times New Roman"/>
        </w:rPr>
        <w:t>xem xét việc thay đổi, bổ sung kháng cáo có vượt quá phạm vi kháng cáo ban đầu hay không thì</w:t>
      </w:r>
      <w:r w:rsidR="00D03C25" w:rsidRPr="009146D0">
        <w:rPr>
          <w:rFonts w:ascii="Times New Roman" w:hAnsi="Times New Roman" w:cs="Times New Roman"/>
        </w:rPr>
        <w:t xml:space="preserve"> </w:t>
      </w:r>
      <w:r w:rsidR="00872ACD" w:rsidRPr="009146D0">
        <w:rPr>
          <w:rFonts w:ascii="Times New Roman" w:hAnsi="Times New Roman" w:cs="Times New Roman"/>
        </w:rPr>
        <w:t>t</w:t>
      </w:r>
      <w:r w:rsidR="008540FE" w:rsidRPr="009146D0">
        <w:rPr>
          <w:rFonts w:ascii="Times New Roman" w:hAnsi="Times New Roman" w:cs="Times New Roman"/>
        </w:rPr>
        <w:t>oà</w:t>
      </w:r>
      <w:r w:rsidR="00C470FE" w:rsidRPr="009146D0">
        <w:rPr>
          <w:rFonts w:ascii="Times New Roman" w:hAnsi="Times New Roman" w:cs="Times New Roman"/>
        </w:rPr>
        <w:t xml:space="preserve"> án </w:t>
      </w:r>
      <w:r w:rsidR="00F843A4" w:rsidRPr="009146D0">
        <w:rPr>
          <w:rFonts w:ascii="Times New Roman" w:hAnsi="Times New Roman" w:cs="Times New Roman"/>
        </w:rPr>
        <w:t>sẽ</w:t>
      </w:r>
      <w:r w:rsidR="00C470FE" w:rsidRPr="009146D0">
        <w:rPr>
          <w:rFonts w:ascii="Times New Roman" w:hAnsi="Times New Roman" w:cs="Times New Roman"/>
        </w:rPr>
        <w:t xml:space="preserve"> </w:t>
      </w:r>
      <w:r w:rsidR="00872ACD" w:rsidRPr="009146D0">
        <w:rPr>
          <w:rFonts w:ascii="Times New Roman" w:hAnsi="Times New Roman" w:cs="Times New Roman"/>
        </w:rPr>
        <w:t xml:space="preserve">cần </w:t>
      </w:r>
      <w:r w:rsidR="00C470FE" w:rsidRPr="009146D0">
        <w:rPr>
          <w:rFonts w:ascii="Times New Roman" w:hAnsi="Times New Roman" w:cs="Times New Roman"/>
        </w:rPr>
        <w:t>căn cứ vào nhiều yếu tố khác nhau đó là: 1)</w:t>
      </w:r>
      <w:r w:rsidR="00872ACD" w:rsidRPr="009146D0">
        <w:rPr>
          <w:rFonts w:ascii="Times New Roman" w:hAnsi="Times New Roman" w:cs="Times New Roman"/>
        </w:rPr>
        <w:t xml:space="preserve"> đ</w:t>
      </w:r>
      <w:r w:rsidR="00156D1F" w:rsidRPr="009146D0">
        <w:rPr>
          <w:rFonts w:ascii="Times New Roman" w:hAnsi="Times New Roman" w:cs="Times New Roman"/>
        </w:rPr>
        <w:t>ối tượng kháng cáo là toàn bộ bản án, quyết định sơ thẩm hay chỉ một phần của bản án, quyết định sơ thẩm</w:t>
      </w:r>
      <w:r w:rsidR="00872ACD" w:rsidRPr="009146D0">
        <w:rPr>
          <w:rFonts w:ascii="Times New Roman" w:hAnsi="Times New Roman" w:cs="Times New Roman"/>
        </w:rPr>
        <w:t xml:space="preserve">; </w:t>
      </w:r>
      <w:r w:rsidR="00156D1F" w:rsidRPr="009146D0">
        <w:rPr>
          <w:rFonts w:ascii="Times New Roman" w:hAnsi="Times New Roman" w:cs="Times New Roman"/>
        </w:rPr>
        <w:t xml:space="preserve">2) </w:t>
      </w:r>
      <w:r w:rsidR="00872ACD" w:rsidRPr="009146D0">
        <w:rPr>
          <w:rFonts w:ascii="Times New Roman" w:hAnsi="Times New Roman" w:cs="Times New Roman"/>
        </w:rPr>
        <w:t>t</w:t>
      </w:r>
      <w:r w:rsidR="00C470FE" w:rsidRPr="009146D0">
        <w:rPr>
          <w:rFonts w:ascii="Times New Roman" w:hAnsi="Times New Roman" w:cs="Times New Roman"/>
        </w:rPr>
        <w:t xml:space="preserve">ư cách chủ thể thay </w:t>
      </w:r>
      <w:r w:rsidR="00C470FE" w:rsidRPr="009146D0">
        <w:rPr>
          <w:rFonts w:ascii="Times New Roman" w:hAnsi="Times New Roman" w:cs="Times New Roman"/>
          <w:spacing w:val="6"/>
        </w:rPr>
        <w:t>đổi, bổ sung kháng cáo là đương sự</w:t>
      </w:r>
      <w:r w:rsidR="00CB471D" w:rsidRPr="009146D0">
        <w:rPr>
          <w:rFonts w:ascii="Times New Roman" w:hAnsi="Times New Roman" w:cs="Times New Roman"/>
          <w:spacing w:val="6"/>
        </w:rPr>
        <w:t xml:space="preserve"> nào?</w:t>
      </w:r>
      <w:r w:rsidR="00CB471D" w:rsidRPr="009146D0">
        <w:rPr>
          <w:rFonts w:ascii="Times New Roman" w:hAnsi="Times New Roman" w:cs="Times New Roman"/>
        </w:rPr>
        <w:t xml:space="preserve"> 3</w:t>
      </w:r>
      <w:r w:rsidR="00644672" w:rsidRPr="009146D0">
        <w:rPr>
          <w:rFonts w:ascii="Times New Roman" w:hAnsi="Times New Roman" w:cs="Times New Roman"/>
        </w:rPr>
        <w:t>) t</w:t>
      </w:r>
      <w:r w:rsidR="00C470FE" w:rsidRPr="009146D0">
        <w:rPr>
          <w:rFonts w:ascii="Times New Roman" w:hAnsi="Times New Roman" w:cs="Times New Roman"/>
        </w:rPr>
        <w:t xml:space="preserve">hời điểm đề nghị thay đổi, bổ sung kháng cáo là trước khi mở phiên </w:t>
      </w:r>
      <w:r w:rsidR="008540FE" w:rsidRPr="009146D0">
        <w:rPr>
          <w:rFonts w:ascii="Times New Roman" w:hAnsi="Times New Roman" w:cs="Times New Roman"/>
        </w:rPr>
        <w:t>toà</w:t>
      </w:r>
      <w:r w:rsidR="00C470FE" w:rsidRPr="009146D0">
        <w:rPr>
          <w:rFonts w:ascii="Times New Roman" w:hAnsi="Times New Roman" w:cs="Times New Roman"/>
        </w:rPr>
        <w:t xml:space="preserve"> hay tạ</w:t>
      </w:r>
      <w:r w:rsidR="00CB471D" w:rsidRPr="009146D0">
        <w:rPr>
          <w:rFonts w:ascii="Times New Roman" w:hAnsi="Times New Roman" w:cs="Times New Roman"/>
        </w:rPr>
        <w:t xml:space="preserve">i phiên </w:t>
      </w:r>
      <w:r w:rsidR="008540FE" w:rsidRPr="009146D0">
        <w:rPr>
          <w:rFonts w:ascii="Times New Roman" w:hAnsi="Times New Roman" w:cs="Times New Roman"/>
          <w:spacing w:val="4"/>
        </w:rPr>
        <w:t>toà</w:t>
      </w:r>
      <w:r w:rsidR="00CB471D" w:rsidRPr="009146D0">
        <w:rPr>
          <w:rFonts w:ascii="Times New Roman" w:hAnsi="Times New Roman" w:cs="Times New Roman"/>
          <w:spacing w:val="4"/>
        </w:rPr>
        <w:t>?</w:t>
      </w:r>
      <w:r w:rsidR="00526397" w:rsidRPr="009146D0">
        <w:rPr>
          <w:rFonts w:ascii="Times New Roman" w:hAnsi="Times New Roman" w:cs="Times New Roman"/>
          <w:spacing w:val="4"/>
        </w:rPr>
        <w:t xml:space="preserve">; </w:t>
      </w:r>
      <w:r w:rsidR="00CB471D" w:rsidRPr="009146D0">
        <w:rPr>
          <w:rFonts w:ascii="Times New Roman" w:hAnsi="Times New Roman" w:cs="Times New Roman"/>
          <w:spacing w:val="4"/>
        </w:rPr>
        <w:t>4</w:t>
      </w:r>
      <w:r w:rsidR="00526397" w:rsidRPr="009146D0">
        <w:rPr>
          <w:rFonts w:ascii="Times New Roman" w:hAnsi="Times New Roman" w:cs="Times New Roman"/>
          <w:spacing w:val="4"/>
        </w:rPr>
        <w:t>) t</w:t>
      </w:r>
      <w:r w:rsidR="00C470FE" w:rsidRPr="009146D0">
        <w:rPr>
          <w:rFonts w:ascii="Times New Roman" w:hAnsi="Times New Roman" w:cs="Times New Roman"/>
          <w:spacing w:val="4"/>
        </w:rPr>
        <w:t>hời hạn kháng cáo</w:t>
      </w:r>
      <w:r w:rsidR="006F0BBD" w:rsidRPr="009146D0">
        <w:rPr>
          <w:rFonts w:ascii="Times New Roman" w:hAnsi="Times New Roman" w:cs="Times New Roman"/>
          <w:spacing w:val="4"/>
        </w:rPr>
        <w:t xml:space="preserve"> đã hết chưa</w:t>
      </w:r>
      <w:r w:rsidR="00C470FE" w:rsidRPr="009146D0">
        <w:rPr>
          <w:rFonts w:ascii="Times New Roman" w:hAnsi="Times New Roman" w:cs="Times New Roman"/>
          <w:spacing w:val="4"/>
        </w:rPr>
        <w:t>?</w:t>
      </w:r>
      <w:r w:rsidR="004311B3" w:rsidRPr="009146D0">
        <w:rPr>
          <w:rFonts w:ascii="Times New Roman" w:hAnsi="Times New Roman" w:cs="Times New Roman"/>
          <w:spacing w:val="4"/>
        </w:rPr>
        <w:t>;</w:t>
      </w:r>
      <w:r w:rsidR="004311B3" w:rsidRPr="009146D0">
        <w:rPr>
          <w:rFonts w:ascii="Times New Roman" w:hAnsi="Times New Roman" w:cs="Times New Roman"/>
        </w:rPr>
        <w:t xml:space="preserve"> </w:t>
      </w:r>
      <w:r w:rsidR="006F0BBD" w:rsidRPr="009146D0">
        <w:rPr>
          <w:rFonts w:ascii="Times New Roman" w:hAnsi="Times New Roman" w:cs="Times New Roman"/>
        </w:rPr>
        <w:t>5</w:t>
      </w:r>
      <w:r w:rsidR="00156D1F" w:rsidRPr="009146D0">
        <w:rPr>
          <w:rFonts w:ascii="Times New Roman" w:hAnsi="Times New Roman" w:cs="Times New Roman"/>
        </w:rPr>
        <w:t xml:space="preserve">) </w:t>
      </w:r>
      <w:r w:rsidR="004311B3" w:rsidRPr="009146D0">
        <w:rPr>
          <w:rFonts w:ascii="Times New Roman" w:hAnsi="Times New Roman" w:cs="Times New Roman"/>
        </w:rPr>
        <w:t>n</w:t>
      </w:r>
      <w:r w:rsidR="00C470FE" w:rsidRPr="009146D0">
        <w:rPr>
          <w:rFonts w:ascii="Times New Roman" w:hAnsi="Times New Roman" w:cs="Times New Roman"/>
        </w:rPr>
        <w:t>ội dung kháng cáo</w:t>
      </w:r>
      <w:r w:rsidR="00BE347C" w:rsidRPr="009146D0">
        <w:rPr>
          <w:rFonts w:ascii="Times New Roman" w:hAnsi="Times New Roman" w:cs="Times New Roman"/>
        </w:rPr>
        <w:t xml:space="preserve"> nêu trong đơn kháng cáo là gì? Nội dung kháng cáo</w:t>
      </w:r>
      <w:r w:rsidR="00C470FE" w:rsidRPr="009146D0">
        <w:rPr>
          <w:rFonts w:ascii="Times New Roman" w:hAnsi="Times New Roman" w:cs="Times New Roman"/>
        </w:rPr>
        <w:t xml:space="preserve"> </w:t>
      </w:r>
      <w:r w:rsidR="00156D1F" w:rsidRPr="009146D0">
        <w:rPr>
          <w:rFonts w:ascii="Times New Roman" w:hAnsi="Times New Roman" w:cs="Times New Roman"/>
        </w:rPr>
        <w:t>bị</w:t>
      </w:r>
      <w:r w:rsidR="00C470FE" w:rsidRPr="009146D0">
        <w:rPr>
          <w:rFonts w:ascii="Times New Roman" w:hAnsi="Times New Roman" w:cs="Times New Roman"/>
        </w:rPr>
        <w:t xml:space="preserve"> thay đổi, bổ sung đã được </w:t>
      </w:r>
      <w:r w:rsidR="00CB471D" w:rsidRPr="009146D0">
        <w:rPr>
          <w:rFonts w:ascii="Times New Roman" w:hAnsi="Times New Roman" w:cs="Times New Roman"/>
        </w:rPr>
        <w:t>xem xét</w:t>
      </w:r>
      <w:r w:rsidR="00C470FE" w:rsidRPr="009146D0">
        <w:rPr>
          <w:rFonts w:ascii="Times New Roman" w:hAnsi="Times New Roman" w:cs="Times New Roman"/>
        </w:rPr>
        <w:t xml:space="preserve"> bởi </w:t>
      </w:r>
      <w:r w:rsidR="0030793B" w:rsidRPr="009146D0">
        <w:rPr>
          <w:rFonts w:ascii="Times New Roman" w:hAnsi="Times New Roman" w:cs="Times New Roman"/>
        </w:rPr>
        <w:t>t</w:t>
      </w:r>
      <w:r w:rsidR="008540FE" w:rsidRPr="009146D0">
        <w:rPr>
          <w:rFonts w:ascii="Times New Roman" w:hAnsi="Times New Roman" w:cs="Times New Roman"/>
        </w:rPr>
        <w:t>oà</w:t>
      </w:r>
      <w:r w:rsidR="00C470FE" w:rsidRPr="009146D0">
        <w:rPr>
          <w:rFonts w:ascii="Times New Roman" w:hAnsi="Times New Roman" w:cs="Times New Roman"/>
        </w:rPr>
        <w:t xml:space="preserve"> án cấp sơ thẩm chưa?</w:t>
      </w:r>
      <w:r w:rsidR="00905BC0" w:rsidRPr="009146D0">
        <w:rPr>
          <w:rFonts w:ascii="Times New Roman" w:hAnsi="Times New Roman" w:cs="Times New Roman"/>
        </w:rPr>
        <w:t>...</w:t>
      </w:r>
      <w:r w:rsidR="00156D1F" w:rsidRPr="009146D0">
        <w:rPr>
          <w:rFonts w:ascii="Times New Roman" w:hAnsi="Times New Roman" w:cs="Times New Roman"/>
        </w:rPr>
        <w:t xml:space="preserve"> </w:t>
      </w:r>
      <w:r w:rsidR="001B32C4" w:rsidRPr="009146D0">
        <w:rPr>
          <w:rFonts w:ascii="Times New Roman" w:hAnsi="Times New Roman" w:cs="Times New Roman"/>
        </w:rPr>
        <w:t>Tuy nhiên, đây</w:t>
      </w:r>
      <w:r w:rsidR="00E23367" w:rsidRPr="009146D0">
        <w:rPr>
          <w:rFonts w:ascii="Times New Roman" w:hAnsi="Times New Roman" w:cs="Times New Roman"/>
        </w:rPr>
        <w:t xml:space="preserve"> cũng </w:t>
      </w:r>
      <w:r w:rsidR="00A3478B" w:rsidRPr="009146D0">
        <w:rPr>
          <w:rFonts w:ascii="Times New Roman" w:hAnsi="Times New Roman" w:cs="Times New Roman"/>
        </w:rPr>
        <w:t xml:space="preserve">chỉ </w:t>
      </w:r>
      <w:r w:rsidR="00E23367" w:rsidRPr="009146D0">
        <w:rPr>
          <w:rFonts w:ascii="Times New Roman" w:hAnsi="Times New Roman" w:cs="Times New Roman"/>
        </w:rPr>
        <w:t xml:space="preserve">là những lập luận </w:t>
      </w:r>
      <w:r w:rsidR="00EA181B" w:rsidRPr="009146D0">
        <w:rPr>
          <w:rFonts w:ascii="Times New Roman" w:hAnsi="Times New Roman" w:cs="Times New Roman"/>
        </w:rPr>
        <w:t xml:space="preserve">ở khía cạnh </w:t>
      </w:r>
      <w:r w:rsidR="00E23367" w:rsidRPr="009146D0">
        <w:rPr>
          <w:rFonts w:ascii="Times New Roman" w:hAnsi="Times New Roman" w:cs="Times New Roman"/>
        </w:rPr>
        <w:t>l</w:t>
      </w:r>
      <w:r w:rsidR="00CC3B6E" w:rsidRPr="009146D0">
        <w:rPr>
          <w:rFonts w:ascii="Times New Roman" w:hAnsi="Times New Roman" w:cs="Times New Roman"/>
        </w:rPr>
        <w:t>í</w:t>
      </w:r>
      <w:r w:rsidR="00E23367" w:rsidRPr="009146D0">
        <w:rPr>
          <w:rFonts w:ascii="Times New Roman" w:hAnsi="Times New Roman" w:cs="Times New Roman"/>
        </w:rPr>
        <w:t xml:space="preserve"> luận còn việc hiểu thống nhất</w:t>
      </w:r>
      <w:r w:rsidR="00EA181B" w:rsidRPr="009146D0">
        <w:rPr>
          <w:rFonts w:ascii="Times New Roman" w:hAnsi="Times New Roman" w:cs="Times New Roman"/>
        </w:rPr>
        <w:t>, chính xác</w:t>
      </w:r>
      <w:r w:rsidR="00E23367" w:rsidRPr="009146D0">
        <w:rPr>
          <w:rFonts w:ascii="Times New Roman" w:hAnsi="Times New Roman" w:cs="Times New Roman"/>
        </w:rPr>
        <w:t xml:space="preserve"> như thế nào là </w:t>
      </w:r>
      <w:r w:rsidR="00E23367" w:rsidRPr="009146D0">
        <w:rPr>
          <w:rFonts w:ascii="Times New Roman" w:hAnsi="Times New Roman" w:cs="Times New Roman"/>
        </w:rPr>
        <w:lastRenderedPageBreak/>
        <w:t xml:space="preserve">“không vượt quá phạm vi kháng cáo ban đầu” thì cần được các nhà làm luật hướng dẫn cụ thể tại các văn bản hướng dẫn thi hành Luật TTHC hoặc nên chăng </w:t>
      </w:r>
      <w:r w:rsidR="00A3478B" w:rsidRPr="009146D0">
        <w:rPr>
          <w:rFonts w:ascii="Times New Roman" w:hAnsi="Times New Roman" w:cs="Times New Roman"/>
        </w:rPr>
        <w:t>T</w:t>
      </w:r>
      <w:r w:rsidR="008540FE" w:rsidRPr="009146D0">
        <w:rPr>
          <w:rFonts w:ascii="Times New Roman" w:hAnsi="Times New Roman" w:cs="Times New Roman"/>
        </w:rPr>
        <w:t>oà</w:t>
      </w:r>
      <w:r w:rsidR="00583CDF" w:rsidRPr="009146D0">
        <w:rPr>
          <w:rFonts w:ascii="Times New Roman" w:hAnsi="Times New Roman" w:cs="Times New Roman"/>
        </w:rPr>
        <w:t xml:space="preserve"> án nhân dân tối cao </w:t>
      </w:r>
      <w:r w:rsidR="00263EAE" w:rsidRPr="009146D0">
        <w:rPr>
          <w:rFonts w:ascii="Times New Roman" w:hAnsi="Times New Roman" w:cs="Times New Roman"/>
        </w:rPr>
        <w:t>cần sớm</w:t>
      </w:r>
      <w:r w:rsidR="00583CDF" w:rsidRPr="009146D0">
        <w:rPr>
          <w:rFonts w:ascii="Times New Roman" w:hAnsi="Times New Roman" w:cs="Times New Roman"/>
        </w:rPr>
        <w:t xml:space="preserve"> </w:t>
      </w:r>
      <w:r w:rsidR="00801448" w:rsidRPr="009146D0">
        <w:rPr>
          <w:rFonts w:ascii="Times New Roman" w:hAnsi="Times New Roman" w:cs="Times New Roman"/>
        </w:rPr>
        <w:t xml:space="preserve">nghiên cứu ban hành công bố các án lệ có liên quan hoặc </w:t>
      </w:r>
      <w:r w:rsidR="00EA181B" w:rsidRPr="009146D0">
        <w:rPr>
          <w:rFonts w:ascii="Times New Roman" w:hAnsi="Times New Roman" w:cs="Times New Roman"/>
        </w:rPr>
        <w:t xml:space="preserve">có </w:t>
      </w:r>
      <w:r w:rsidR="00263EAE" w:rsidRPr="009146D0">
        <w:rPr>
          <w:rFonts w:ascii="Times New Roman" w:hAnsi="Times New Roman" w:cs="Times New Roman"/>
        </w:rPr>
        <w:t>nội dung giải đáp</w:t>
      </w:r>
      <w:r w:rsidR="00EA181B" w:rsidRPr="009146D0">
        <w:rPr>
          <w:rFonts w:ascii="Times New Roman" w:hAnsi="Times New Roman" w:cs="Times New Roman"/>
        </w:rPr>
        <w:t xml:space="preserve"> tại </w:t>
      </w:r>
      <w:r w:rsidR="0030793B" w:rsidRPr="009146D0">
        <w:rPr>
          <w:rFonts w:ascii="Times New Roman" w:hAnsi="Times New Roman" w:cs="Times New Roman"/>
        </w:rPr>
        <w:t>c</w:t>
      </w:r>
      <w:r w:rsidR="00EA181B" w:rsidRPr="009146D0">
        <w:rPr>
          <w:rFonts w:ascii="Times New Roman" w:hAnsi="Times New Roman" w:cs="Times New Roman"/>
        </w:rPr>
        <w:t>ông văn giải đáp thắc mắc hàng năm</w:t>
      </w:r>
      <w:r w:rsidR="00263EAE" w:rsidRPr="009146D0">
        <w:rPr>
          <w:rFonts w:ascii="Times New Roman" w:hAnsi="Times New Roman" w:cs="Times New Roman"/>
        </w:rPr>
        <w:t xml:space="preserve"> về tố tụng hành chính,</w:t>
      </w:r>
      <w:r w:rsidR="00583CDF" w:rsidRPr="009146D0">
        <w:rPr>
          <w:rFonts w:ascii="Times New Roman" w:hAnsi="Times New Roman" w:cs="Times New Roman"/>
        </w:rPr>
        <w:t xml:space="preserve"> nhằm bảo đảm việc </w:t>
      </w:r>
      <w:r w:rsidR="006F3AF0" w:rsidRPr="009146D0">
        <w:rPr>
          <w:rFonts w:ascii="Times New Roman" w:hAnsi="Times New Roman" w:cs="Times New Roman"/>
        </w:rPr>
        <w:t>áp</w:t>
      </w:r>
      <w:r w:rsidR="00583CDF" w:rsidRPr="009146D0">
        <w:rPr>
          <w:rFonts w:ascii="Times New Roman" w:hAnsi="Times New Roman" w:cs="Times New Roman"/>
        </w:rPr>
        <w:t xml:space="preserve"> dụng </w:t>
      </w:r>
      <w:r w:rsidR="009E57A8" w:rsidRPr="009146D0">
        <w:rPr>
          <w:rFonts w:ascii="Times New Roman" w:hAnsi="Times New Roman" w:cs="Times New Roman"/>
        </w:rPr>
        <w:t xml:space="preserve">thống nhất </w:t>
      </w:r>
      <w:r w:rsidR="00583CDF" w:rsidRPr="009146D0">
        <w:rPr>
          <w:rFonts w:ascii="Times New Roman" w:hAnsi="Times New Roman" w:cs="Times New Roman"/>
        </w:rPr>
        <w:t xml:space="preserve">pháp luật </w:t>
      </w:r>
      <w:r w:rsidR="00263EAE" w:rsidRPr="009146D0">
        <w:rPr>
          <w:rFonts w:ascii="Times New Roman" w:hAnsi="Times New Roman" w:cs="Times New Roman"/>
        </w:rPr>
        <w:t>trong phạm vi cả nước</w:t>
      </w:r>
      <w:r w:rsidR="00583CDF" w:rsidRPr="009146D0">
        <w:rPr>
          <w:rFonts w:ascii="Times New Roman" w:hAnsi="Times New Roman" w:cs="Times New Roman"/>
        </w:rPr>
        <w:t>.</w:t>
      </w:r>
      <w:r w:rsidR="00163BFA" w:rsidRPr="009146D0">
        <w:rPr>
          <w:rFonts w:ascii="Times New Roman" w:hAnsi="Times New Roman" w:cs="Times New Roman"/>
        </w:rPr>
        <w:t xml:space="preserve"> Sau đây là 2 vụ án </w:t>
      </w:r>
      <w:r w:rsidR="00ED2D11" w:rsidRPr="009146D0">
        <w:rPr>
          <w:rFonts w:ascii="Times New Roman" w:hAnsi="Times New Roman" w:cs="Times New Roman"/>
        </w:rPr>
        <w:t xml:space="preserve">trên thực tế </w:t>
      </w:r>
      <w:r w:rsidR="00163BFA" w:rsidRPr="009146D0">
        <w:rPr>
          <w:rFonts w:ascii="Times New Roman" w:hAnsi="Times New Roman" w:cs="Times New Roman"/>
        </w:rPr>
        <w:t xml:space="preserve">mà người kháng cáo có bổ sung, thay đổi kháng cáo tại phiên </w:t>
      </w:r>
      <w:r w:rsidR="008540FE" w:rsidRPr="009146D0">
        <w:rPr>
          <w:rFonts w:ascii="Times New Roman" w:hAnsi="Times New Roman" w:cs="Times New Roman"/>
        </w:rPr>
        <w:t>toà</w:t>
      </w:r>
      <w:r w:rsidR="00163BFA" w:rsidRPr="009146D0">
        <w:rPr>
          <w:rFonts w:ascii="Times New Roman" w:hAnsi="Times New Roman" w:cs="Times New Roman"/>
        </w:rPr>
        <w:t xml:space="preserve"> phúc thẩm và được </w:t>
      </w:r>
      <w:r w:rsidR="00A3478B" w:rsidRPr="009146D0">
        <w:rPr>
          <w:rFonts w:ascii="Times New Roman" w:hAnsi="Times New Roman" w:cs="Times New Roman"/>
        </w:rPr>
        <w:t>t</w:t>
      </w:r>
      <w:r w:rsidR="008540FE" w:rsidRPr="009146D0">
        <w:rPr>
          <w:rFonts w:ascii="Times New Roman" w:hAnsi="Times New Roman" w:cs="Times New Roman"/>
        </w:rPr>
        <w:t>oà</w:t>
      </w:r>
      <w:r w:rsidR="00163BFA" w:rsidRPr="009146D0">
        <w:rPr>
          <w:rFonts w:ascii="Times New Roman" w:hAnsi="Times New Roman" w:cs="Times New Roman"/>
        </w:rPr>
        <w:t xml:space="preserve"> án chấp nhận xem xét giải quyết.</w:t>
      </w:r>
    </w:p>
    <w:p w:rsidR="006544D1" w:rsidRPr="009146D0" w:rsidRDefault="004B4152" w:rsidP="00556EA0">
      <w:pPr>
        <w:widowControl w:val="0"/>
        <w:autoSpaceDE w:val="0"/>
        <w:autoSpaceDN w:val="0"/>
        <w:adjustRightInd w:val="0"/>
        <w:spacing w:line="274" w:lineRule="auto"/>
        <w:ind w:firstLine="369"/>
        <w:jc w:val="both"/>
        <w:rPr>
          <w:rFonts w:ascii="Times New Roman" w:hAnsi="Times New Roman" w:cs="Times New Roman"/>
        </w:rPr>
      </w:pPr>
      <w:r w:rsidRPr="009146D0">
        <w:rPr>
          <w:rFonts w:ascii="Times New Roman" w:hAnsi="Times New Roman" w:cs="Times New Roman"/>
          <w:spacing w:val="-2"/>
        </w:rPr>
        <w:t>Vụ án 1: Người kháng cáo bổ sung kháng</w:t>
      </w:r>
      <w:r w:rsidRPr="009146D0">
        <w:rPr>
          <w:rFonts w:ascii="Times New Roman" w:hAnsi="Times New Roman" w:cs="Times New Roman"/>
        </w:rPr>
        <w:t xml:space="preserve"> cáo không vượt quá phạm vi kháng cáo ban đầu và được </w:t>
      </w:r>
      <w:r w:rsidR="00480AA7" w:rsidRPr="009146D0">
        <w:rPr>
          <w:rFonts w:ascii="Times New Roman" w:hAnsi="Times New Roman" w:cs="Times New Roman"/>
        </w:rPr>
        <w:t>t</w:t>
      </w:r>
      <w:r w:rsidR="008540FE" w:rsidRPr="009146D0">
        <w:rPr>
          <w:rFonts w:ascii="Times New Roman" w:hAnsi="Times New Roman" w:cs="Times New Roman"/>
        </w:rPr>
        <w:t>oà</w:t>
      </w:r>
      <w:r w:rsidRPr="009146D0">
        <w:rPr>
          <w:rFonts w:ascii="Times New Roman" w:hAnsi="Times New Roman" w:cs="Times New Roman"/>
        </w:rPr>
        <w:t xml:space="preserve"> án chấp nhận.</w:t>
      </w:r>
    </w:p>
    <w:p w:rsidR="006E1F60" w:rsidRPr="009146D0" w:rsidRDefault="00474ED6" w:rsidP="00556EA0">
      <w:pPr>
        <w:widowControl w:val="0"/>
        <w:autoSpaceDE w:val="0"/>
        <w:autoSpaceDN w:val="0"/>
        <w:adjustRightInd w:val="0"/>
        <w:spacing w:line="274" w:lineRule="auto"/>
        <w:ind w:firstLine="369"/>
        <w:jc w:val="both"/>
        <w:rPr>
          <w:rFonts w:ascii="Times New Roman" w:hAnsi="Times New Roman" w:cs="Times New Roman"/>
        </w:rPr>
      </w:pPr>
      <w:r w:rsidRPr="009146D0">
        <w:rPr>
          <w:rFonts w:ascii="Times New Roman" w:hAnsi="Times New Roman" w:cs="Times New Roman"/>
        </w:rPr>
        <w:t>N</w:t>
      </w:r>
      <w:r w:rsidR="00EB6AF0" w:rsidRPr="009146D0">
        <w:rPr>
          <w:rFonts w:ascii="Times New Roman" w:hAnsi="Times New Roman" w:cs="Times New Roman"/>
        </w:rPr>
        <w:t xml:space="preserve">ăm 2003, bà T làm hồ sơ xin cấp giấy chứng nhận quyền sử </w:t>
      </w:r>
      <w:r w:rsidR="009D048E" w:rsidRPr="009146D0">
        <w:rPr>
          <w:rFonts w:ascii="Times New Roman" w:hAnsi="Times New Roman" w:cs="Times New Roman"/>
        </w:rPr>
        <w:t xml:space="preserve">dụng </w:t>
      </w:r>
      <w:r w:rsidR="00EB6AF0" w:rsidRPr="009146D0">
        <w:rPr>
          <w:rFonts w:ascii="Times New Roman" w:hAnsi="Times New Roman" w:cs="Times New Roman"/>
        </w:rPr>
        <w:t>đất và đã đu</w:t>
      </w:r>
      <w:r w:rsidR="00EB6AF0" w:rsidRPr="009146D0">
        <w:rPr>
          <w:rFonts w:ascii="Cambria Math" w:hAnsi="Cambria Math" w:cs="Cambria Math"/>
        </w:rPr>
        <w:t>̛</w:t>
      </w:r>
      <w:r w:rsidR="00EB6AF0" w:rsidRPr="009146D0">
        <w:rPr>
          <w:rFonts w:ascii="Times New Roman" w:hAnsi="Times New Roman" w:cs="Times New Roman"/>
        </w:rPr>
        <w:t xml:space="preserve">ợc </w:t>
      </w:r>
      <w:r w:rsidR="006544D1" w:rsidRPr="009146D0">
        <w:rPr>
          <w:rFonts w:ascii="Times New Roman" w:hAnsi="Times New Roman" w:cs="Times New Roman"/>
          <w:spacing w:val="-4"/>
        </w:rPr>
        <w:t>UBND</w:t>
      </w:r>
      <w:r w:rsidR="00EB6AF0" w:rsidRPr="009146D0">
        <w:rPr>
          <w:rFonts w:ascii="Times New Roman" w:hAnsi="Times New Roman" w:cs="Times New Roman"/>
          <w:spacing w:val="-4"/>
        </w:rPr>
        <w:t xml:space="preserve"> thành phố M cấp Tờ trì</w:t>
      </w:r>
      <w:r w:rsidR="00DA46C1" w:rsidRPr="009146D0">
        <w:rPr>
          <w:rFonts w:ascii="Times New Roman" w:hAnsi="Times New Roman" w:cs="Times New Roman"/>
          <w:spacing w:val="-4"/>
        </w:rPr>
        <w:t>nh số: 2625/UB</w:t>
      </w:r>
      <w:r w:rsidR="00DA46C1" w:rsidRPr="009146D0">
        <w:rPr>
          <w:rFonts w:ascii="Times New Roman" w:hAnsi="Times New Roman" w:cs="Times New Roman"/>
        </w:rPr>
        <w:t xml:space="preserve"> ngày 26/9/2003, xác định t</w:t>
      </w:r>
      <w:r w:rsidR="00EB6AF0" w:rsidRPr="009146D0">
        <w:rPr>
          <w:rFonts w:ascii="Times New Roman" w:hAnsi="Times New Roman" w:cs="Times New Roman"/>
        </w:rPr>
        <w:t>ứ cạ</w:t>
      </w:r>
      <w:r w:rsidR="00EB6AF0" w:rsidRPr="009146D0">
        <w:rPr>
          <w:rFonts w:ascii="Cambria Math" w:hAnsi="Cambria Math" w:cs="Cambria Math"/>
        </w:rPr>
        <w:t>̂</w:t>
      </w:r>
      <w:r w:rsidR="00EB6AF0" w:rsidRPr="009146D0">
        <w:rPr>
          <w:rFonts w:ascii="Times New Roman" w:hAnsi="Times New Roman" w:cs="Times New Roman"/>
        </w:rPr>
        <w:t>n</w:t>
      </w:r>
      <w:r w:rsidR="00DA46C1" w:rsidRPr="009146D0">
        <w:rPr>
          <w:rFonts w:ascii="Times New Roman" w:hAnsi="Times New Roman" w:cs="Times New Roman"/>
        </w:rPr>
        <w:t xml:space="preserve"> </w:t>
      </w:r>
      <w:r w:rsidR="003C69BC" w:rsidRPr="009146D0">
        <w:rPr>
          <w:rFonts w:ascii="Times New Roman" w:hAnsi="Times New Roman" w:cs="Times New Roman"/>
        </w:rPr>
        <w:t>mảnh</w:t>
      </w:r>
      <w:r w:rsidR="00DA46C1" w:rsidRPr="009146D0">
        <w:rPr>
          <w:rFonts w:ascii="Times New Roman" w:hAnsi="Times New Roman" w:cs="Times New Roman"/>
        </w:rPr>
        <w:t xml:space="preserve"> đất của bà</w:t>
      </w:r>
      <w:r w:rsidR="00EB6AF0" w:rsidRPr="009146D0">
        <w:rPr>
          <w:rFonts w:ascii="Times New Roman" w:hAnsi="Times New Roman" w:cs="Times New Roman"/>
        </w:rPr>
        <w:t xml:space="preserve"> giáp ranh thể hiẹ</w:t>
      </w:r>
      <w:r w:rsidR="00EB6AF0" w:rsidRPr="009146D0">
        <w:rPr>
          <w:rFonts w:ascii="Cambria Math" w:hAnsi="Cambria Math" w:cs="Cambria Math"/>
        </w:rPr>
        <w:t>̂</w:t>
      </w:r>
      <w:r w:rsidR="00EB6AF0" w:rsidRPr="009146D0">
        <w:rPr>
          <w:rFonts w:ascii="Times New Roman" w:hAnsi="Times New Roman" w:cs="Times New Roman"/>
        </w:rPr>
        <w:t>n phía tây giáp mu</w:t>
      </w:r>
      <w:r w:rsidR="00EB6AF0" w:rsidRPr="009146D0">
        <w:rPr>
          <w:rFonts w:ascii="Cambria Math" w:hAnsi="Cambria Math" w:cs="Cambria Math"/>
        </w:rPr>
        <w:t>̛</w:t>
      </w:r>
      <w:r w:rsidR="00EB6AF0" w:rsidRPr="009146D0">
        <w:rPr>
          <w:rFonts w:ascii="Times New Roman" w:hAnsi="Times New Roman" w:cs="Times New Roman"/>
        </w:rPr>
        <w:t>o</w:t>
      </w:r>
      <w:r w:rsidR="00EB6AF0" w:rsidRPr="009146D0">
        <w:rPr>
          <w:rFonts w:ascii="Cambria Math" w:hAnsi="Cambria Math" w:cs="Cambria Math"/>
        </w:rPr>
        <w:t>̛</w:t>
      </w:r>
      <w:r w:rsidR="00EB6AF0" w:rsidRPr="009146D0">
        <w:rPr>
          <w:rFonts w:ascii="Times New Roman" w:hAnsi="Times New Roman" w:cs="Times New Roman"/>
        </w:rPr>
        <w:t>ng + đu</w:t>
      </w:r>
      <w:r w:rsidR="00EB6AF0" w:rsidRPr="009146D0">
        <w:rPr>
          <w:rFonts w:ascii="Cambria Math" w:hAnsi="Cambria Math" w:cs="Cambria Math"/>
        </w:rPr>
        <w:t>̛</w:t>
      </w:r>
      <w:r w:rsidR="00EB6AF0" w:rsidRPr="009146D0">
        <w:rPr>
          <w:rFonts w:ascii="Times New Roman" w:hAnsi="Times New Roman" w:cs="Times New Roman"/>
        </w:rPr>
        <w:t xml:space="preserve">ờng đi. </w:t>
      </w:r>
      <w:r w:rsidRPr="009146D0">
        <w:rPr>
          <w:rFonts w:ascii="Times New Roman" w:hAnsi="Times New Roman" w:cs="Times New Roman"/>
        </w:rPr>
        <w:t>N</w:t>
      </w:r>
      <w:r w:rsidR="00EB6AF0" w:rsidRPr="009146D0">
        <w:rPr>
          <w:rFonts w:ascii="Times New Roman" w:hAnsi="Times New Roman" w:cs="Times New Roman"/>
        </w:rPr>
        <w:t xml:space="preserve">ăm 2004, bà </w:t>
      </w:r>
      <w:r w:rsidR="006544D1" w:rsidRPr="009146D0">
        <w:rPr>
          <w:rFonts w:ascii="Times New Roman" w:hAnsi="Times New Roman" w:cs="Times New Roman"/>
        </w:rPr>
        <w:t xml:space="preserve">T </w:t>
      </w:r>
      <w:r w:rsidR="00EB6AF0" w:rsidRPr="009146D0">
        <w:rPr>
          <w:rFonts w:ascii="Times New Roman" w:hAnsi="Times New Roman" w:cs="Times New Roman"/>
        </w:rPr>
        <w:t xml:space="preserve">nhận được giấy chứng nhận quyền sử </w:t>
      </w:r>
      <w:r w:rsidR="009D048E" w:rsidRPr="009146D0">
        <w:rPr>
          <w:rFonts w:ascii="Times New Roman" w:hAnsi="Times New Roman" w:cs="Times New Roman"/>
        </w:rPr>
        <w:t xml:space="preserve">dụng </w:t>
      </w:r>
      <w:r w:rsidR="00EB6AF0" w:rsidRPr="009146D0">
        <w:rPr>
          <w:rFonts w:ascii="Times New Roman" w:hAnsi="Times New Roman" w:cs="Times New Roman"/>
        </w:rPr>
        <w:t xml:space="preserve">đất. Tuy nhiên, giấy chứng nhận này không đúng và bà đã nộp lại cho địa chính phường X yêu cầu </w:t>
      </w:r>
      <w:r w:rsidR="009D048E" w:rsidRPr="009146D0">
        <w:rPr>
          <w:rFonts w:ascii="Times New Roman" w:hAnsi="Times New Roman" w:cs="Times New Roman"/>
        </w:rPr>
        <w:t xml:space="preserve">điều </w:t>
      </w:r>
      <w:r w:rsidR="00EB6AF0" w:rsidRPr="009146D0">
        <w:rPr>
          <w:rFonts w:ascii="Times New Roman" w:hAnsi="Times New Roman" w:cs="Times New Roman"/>
        </w:rPr>
        <w:t>chỉnh lại</w:t>
      </w:r>
      <w:r w:rsidR="00DA46C1" w:rsidRPr="009146D0">
        <w:rPr>
          <w:rFonts w:ascii="Times New Roman" w:hAnsi="Times New Roman" w:cs="Times New Roman"/>
        </w:rPr>
        <w:t xml:space="preserve">. </w:t>
      </w:r>
      <w:r w:rsidR="00EB6AF0" w:rsidRPr="009146D0">
        <w:rPr>
          <w:rFonts w:ascii="Times New Roman" w:hAnsi="Times New Roman" w:cs="Times New Roman"/>
        </w:rPr>
        <w:t>Đến na</w:t>
      </w:r>
      <w:r w:rsidR="00EB6AF0" w:rsidRPr="009146D0">
        <w:rPr>
          <w:rFonts w:ascii="Cambria Math" w:hAnsi="Cambria Math" w:cs="Cambria Math"/>
        </w:rPr>
        <w:t>̆</w:t>
      </w:r>
      <w:r w:rsidR="00EB6AF0" w:rsidRPr="009146D0">
        <w:rPr>
          <w:rFonts w:ascii="Times New Roman" w:hAnsi="Times New Roman" w:cs="Times New Roman"/>
        </w:rPr>
        <w:t xml:space="preserve">m 2018, </w:t>
      </w:r>
      <w:r w:rsidR="006544D1" w:rsidRPr="009146D0">
        <w:rPr>
          <w:rFonts w:ascii="Times New Roman" w:hAnsi="Times New Roman" w:cs="Times New Roman"/>
        </w:rPr>
        <w:t>UBND</w:t>
      </w:r>
      <w:r w:rsidR="00EB6AF0" w:rsidRPr="009146D0">
        <w:rPr>
          <w:rFonts w:ascii="Times New Roman" w:hAnsi="Times New Roman" w:cs="Times New Roman"/>
        </w:rPr>
        <w:t xml:space="preserve"> phu</w:t>
      </w:r>
      <w:r w:rsidR="00EB6AF0" w:rsidRPr="009146D0">
        <w:rPr>
          <w:rFonts w:ascii="Cambria Math" w:hAnsi="Cambria Math" w:cs="Cambria Math"/>
        </w:rPr>
        <w:t>̛</w:t>
      </w:r>
      <w:r w:rsidR="00EB6AF0" w:rsidRPr="009146D0">
        <w:rPr>
          <w:rFonts w:ascii="Times New Roman" w:hAnsi="Times New Roman" w:cs="Times New Roman"/>
        </w:rPr>
        <w:t>ờng X, thành phố M</w:t>
      </w:r>
      <w:r w:rsidR="009B49A1" w:rsidRPr="009146D0">
        <w:rPr>
          <w:rFonts w:ascii="Times New Roman" w:hAnsi="Times New Roman" w:cs="Times New Roman"/>
        </w:rPr>
        <w:t xml:space="preserve"> tỉnh T</w:t>
      </w:r>
      <w:r w:rsidR="00ED2D11" w:rsidRPr="009146D0">
        <w:rPr>
          <w:rFonts w:ascii="Times New Roman" w:hAnsi="Times New Roman" w:cs="Times New Roman"/>
        </w:rPr>
        <w:t>G</w:t>
      </w:r>
      <w:r w:rsidR="00EB6AF0" w:rsidRPr="009146D0">
        <w:rPr>
          <w:rFonts w:ascii="Times New Roman" w:hAnsi="Times New Roman" w:cs="Times New Roman"/>
        </w:rPr>
        <w:t xml:space="preserve"> có chủ tru</w:t>
      </w:r>
      <w:r w:rsidR="00EB6AF0" w:rsidRPr="009146D0">
        <w:rPr>
          <w:rFonts w:ascii="Cambria Math" w:hAnsi="Cambria Math" w:cs="Cambria Math"/>
        </w:rPr>
        <w:t>̛</w:t>
      </w:r>
      <w:r w:rsidR="00EB6AF0" w:rsidRPr="009146D0">
        <w:rPr>
          <w:rFonts w:ascii="Times New Roman" w:hAnsi="Times New Roman" w:cs="Times New Roman"/>
        </w:rPr>
        <w:t>o</w:t>
      </w:r>
      <w:r w:rsidR="00EB6AF0" w:rsidRPr="009146D0">
        <w:rPr>
          <w:rFonts w:ascii="Cambria Math" w:hAnsi="Cambria Math" w:cs="Cambria Math"/>
        </w:rPr>
        <w:t>̛</w:t>
      </w:r>
      <w:r w:rsidR="00EB6AF0" w:rsidRPr="009146D0">
        <w:rPr>
          <w:rFonts w:ascii="Times New Roman" w:hAnsi="Times New Roman" w:cs="Times New Roman"/>
        </w:rPr>
        <w:t>ng làm đu</w:t>
      </w:r>
      <w:r w:rsidR="00EB6AF0" w:rsidRPr="009146D0">
        <w:rPr>
          <w:rFonts w:ascii="Cambria Math" w:hAnsi="Cambria Math" w:cs="Cambria Math"/>
        </w:rPr>
        <w:t>̛</w:t>
      </w:r>
      <w:r w:rsidR="00EB6AF0" w:rsidRPr="009146D0">
        <w:rPr>
          <w:rFonts w:ascii="Times New Roman" w:hAnsi="Times New Roman" w:cs="Times New Roman"/>
        </w:rPr>
        <w:t>ờng</w:t>
      </w:r>
      <w:r w:rsidR="00DA46C1" w:rsidRPr="009146D0">
        <w:rPr>
          <w:rFonts w:ascii="Times New Roman" w:hAnsi="Times New Roman" w:cs="Times New Roman"/>
        </w:rPr>
        <w:t>,</w:t>
      </w:r>
      <w:r w:rsidR="00EB6AF0" w:rsidRPr="009146D0">
        <w:rPr>
          <w:rFonts w:ascii="Times New Roman" w:hAnsi="Times New Roman" w:cs="Times New Roman"/>
        </w:rPr>
        <w:t xml:space="preserve"> </w:t>
      </w:r>
      <w:r w:rsidR="009B49A1" w:rsidRPr="009146D0">
        <w:rPr>
          <w:rFonts w:ascii="Times New Roman" w:hAnsi="Times New Roman" w:cs="Times New Roman"/>
        </w:rPr>
        <w:t>bà</w:t>
      </w:r>
      <w:r w:rsidR="00DB0CE3" w:rsidRPr="009146D0">
        <w:rPr>
          <w:rFonts w:ascii="Times New Roman" w:hAnsi="Times New Roman" w:cs="Times New Roman"/>
        </w:rPr>
        <w:t xml:space="preserve"> có ý định hiến đất nhưng lại</w:t>
      </w:r>
      <w:r w:rsidR="009B49A1" w:rsidRPr="009146D0">
        <w:rPr>
          <w:rFonts w:ascii="Times New Roman" w:hAnsi="Times New Roman" w:cs="Times New Roman"/>
        </w:rPr>
        <w:t xml:space="preserve"> được biết, phần đường đi sẵn có + mương là đất công cộ</w:t>
      </w:r>
      <w:r w:rsidR="00DB0CE3" w:rsidRPr="009146D0">
        <w:rPr>
          <w:rFonts w:ascii="Times New Roman" w:hAnsi="Times New Roman" w:cs="Times New Roman"/>
        </w:rPr>
        <w:t xml:space="preserve">ng không thuộc quyền sử dụng của nhà bà. Không đồng ý, </w:t>
      </w:r>
      <w:r w:rsidR="003C69BC" w:rsidRPr="009146D0">
        <w:rPr>
          <w:rFonts w:ascii="Times New Roman" w:hAnsi="Times New Roman" w:cs="Times New Roman"/>
        </w:rPr>
        <w:t>b</w:t>
      </w:r>
      <w:r w:rsidR="00DA46C1" w:rsidRPr="009146D0">
        <w:rPr>
          <w:rFonts w:ascii="Times New Roman" w:hAnsi="Times New Roman" w:cs="Times New Roman"/>
        </w:rPr>
        <w:t xml:space="preserve">à </w:t>
      </w:r>
      <w:r w:rsidR="006544D1" w:rsidRPr="009146D0">
        <w:rPr>
          <w:rFonts w:ascii="Times New Roman" w:hAnsi="Times New Roman" w:cs="Times New Roman"/>
        </w:rPr>
        <w:t>T khiếu nạ</w:t>
      </w:r>
      <w:r w:rsidR="00017C52" w:rsidRPr="009146D0">
        <w:rPr>
          <w:rFonts w:ascii="Times New Roman" w:hAnsi="Times New Roman" w:cs="Times New Roman"/>
        </w:rPr>
        <w:t>i</w:t>
      </w:r>
      <w:r w:rsidR="006544D1" w:rsidRPr="009146D0">
        <w:rPr>
          <w:rFonts w:ascii="Times New Roman" w:hAnsi="Times New Roman" w:cs="Times New Roman"/>
        </w:rPr>
        <w:t xml:space="preserve"> và </w:t>
      </w:r>
      <w:r w:rsidRPr="009146D0">
        <w:rPr>
          <w:rFonts w:ascii="Times New Roman" w:hAnsi="Times New Roman" w:cs="Times New Roman"/>
        </w:rPr>
        <w:t>được</w:t>
      </w:r>
      <w:r w:rsidR="00DA46C1" w:rsidRPr="009146D0">
        <w:rPr>
          <w:rFonts w:ascii="Times New Roman" w:hAnsi="Times New Roman" w:cs="Times New Roman"/>
        </w:rPr>
        <w:t xml:space="preserve"> </w:t>
      </w:r>
      <w:r w:rsidR="00A62725" w:rsidRPr="009146D0">
        <w:rPr>
          <w:rFonts w:ascii="Times New Roman" w:hAnsi="Times New Roman" w:cs="Times New Roman"/>
        </w:rPr>
        <w:t>UBND</w:t>
      </w:r>
      <w:r w:rsidR="00DA46C1" w:rsidRPr="009146D0">
        <w:rPr>
          <w:rFonts w:ascii="Times New Roman" w:hAnsi="Times New Roman" w:cs="Times New Roman"/>
        </w:rPr>
        <w:t xml:space="preserve"> thành phố M trả lời bằng </w:t>
      </w:r>
      <w:r w:rsidR="00A62725" w:rsidRPr="009146D0">
        <w:rPr>
          <w:rFonts w:ascii="Times New Roman" w:hAnsi="Times New Roman" w:cs="Times New Roman"/>
        </w:rPr>
        <w:t>công văn</w:t>
      </w:r>
      <w:r w:rsidR="00DA46C1" w:rsidRPr="009146D0">
        <w:rPr>
          <w:rFonts w:ascii="Times New Roman" w:hAnsi="Times New Roman" w:cs="Times New Roman"/>
        </w:rPr>
        <w:t xml:space="preserve"> số 6700/UBND-TD</w:t>
      </w:r>
      <w:r w:rsidR="00DB0CE3" w:rsidRPr="009146D0">
        <w:rPr>
          <w:rFonts w:ascii="Times New Roman" w:hAnsi="Times New Roman" w:cs="Times New Roman"/>
        </w:rPr>
        <w:t>, khẳng định phần đường đi hiện tại và mương là thuộc đất công cộng</w:t>
      </w:r>
      <w:r w:rsidRPr="009146D0">
        <w:rPr>
          <w:rFonts w:ascii="Times New Roman" w:hAnsi="Times New Roman" w:cs="Times New Roman"/>
        </w:rPr>
        <w:t xml:space="preserve"> chứ không thuộc quyền sử dụng của bà T</w:t>
      </w:r>
      <w:r w:rsidR="00DA46C1" w:rsidRPr="009146D0">
        <w:rPr>
          <w:rFonts w:ascii="Times New Roman" w:hAnsi="Times New Roman" w:cs="Times New Roman"/>
        </w:rPr>
        <w:t xml:space="preserve">. </w:t>
      </w:r>
      <w:r w:rsidRPr="009146D0">
        <w:rPr>
          <w:rFonts w:ascii="Times New Roman" w:hAnsi="Times New Roman" w:cs="Times New Roman"/>
        </w:rPr>
        <w:t>B</w:t>
      </w:r>
      <w:r w:rsidR="00BA6892" w:rsidRPr="009146D0">
        <w:rPr>
          <w:rFonts w:ascii="Times New Roman" w:hAnsi="Times New Roman" w:cs="Times New Roman"/>
        </w:rPr>
        <w:t>à T</w:t>
      </w:r>
      <w:r w:rsidR="00DA46C1" w:rsidRPr="009146D0">
        <w:rPr>
          <w:rFonts w:ascii="Times New Roman" w:hAnsi="Times New Roman" w:cs="Times New Roman"/>
        </w:rPr>
        <w:t xml:space="preserve"> tiếp tục khiếu </w:t>
      </w:r>
      <w:r w:rsidRPr="009146D0">
        <w:rPr>
          <w:rFonts w:ascii="Times New Roman" w:hAnsi="Times New Roman" w:cs="Times New Roman"/>
        </w:rPr>
        <w:t>nại lần 2 về</w:t>
      </w:r>
      <w:r w:rsidR="00DA46C1" w:rsidRPr="009146D0">
        <w:rPr>
          <w:rFonts w:ascii="Times New Roman" w:hAnsi="Times New Roman" w:cs="Times New Roman"/>
        </w:rPr>
        <w:t xml:space="preserve"> Công va</w:t>
      </w:r>
      <w:r w:rsidR="00DA46C1" w:rsidRPr="009146D0">
        <w:rPr>
          <w:rFonts w:ascii="Cambria Math" w:hAnsi="Cambria Math" w:cs="Cambria Math"/>
        </w:rPr>
        <w:t>̆</w:t>
      </w:r>
      <w:r w:rsidR="00DA46C1" w:rsidRPr="009146D0">
        <w:rPr>
          <w:rFonts w:ascii="Times New Roman" w:hAnsi="Times New Roman" w:cs="Times New Roman"/>
        </w:rPr>
        <w:t>n số 6700/UBND-TD</w:t>
      </w:r>
      <w:r w:rsidR="003C69BC" w:rsidRPr="009146D0">
        <w:rPr>
          <w:rFonts w:ascii="Times New Roman" w:hAnsi="Times New Roman" w:cs="Times New Roman"/>
        </w:rPr>
        <w:t xml:space="preserve"> </w:t>
      </w:r>
      <w:r w:rsidRPr="009146D0">
        <w:rPr>
          <w:rFonts w:ascii="Times New Roman" w:hAnsi="Times New Roman" w:cs="Times New Roman"/>
        </w:rPr>
        <w:t xml:space="preserve">và được </w:t>
      </w:r>
      <w:r w:rsidR="00BA6892" w:rsidRPr="009146D0">
        <w:rPr>
          <w:rFonts w:ascii="Times New Roman" w:hAnsi="Times New Roman" w:cs="Times New Roman"/>
        </w:rPr>
        <w:t>UBND</w:t>
      </w:r>
      <w:r w:rsidR="00DA46C1" w:rsidRPr="009146D0">
        <w:rPr>
          <w:rFonts w:ascii="Times New Roman" w:hAnsi="Times New Roman" w:cs="Times New Roman"/>
        </w:rPr>
        <w:t xml:space="preserve"> thành phố M ban hành Quyết định số 1260/QĐ-UBND </w:t>
      </w:r>
      <w:r w:rsidR="00BA6892" w:rsidRPr="009146D0">
        <w:rPr>
          <w:rFonts w:ascii="Times New Roman" w:hAnsi="Times New Roman" w:cs="Times New Roman"/>
        </w:rPr>
        <w:t>bác đo</w:t>
      </w:r>
      <w:r w:rsidR="00BA6892" w:rsidRPr="009146D0">
        <w:rPr>
          <w:rFonts w:ascii="Cambria Math" w:hAnsi="Cambria Math" w:cs="Cambria Math"/>
        </w:rPr>
        <w:t>̛</w:t>
      </w:r>
      <w:r w:rsidR="00BA6892" w:rsidRPr="009146D0">
        <w:rPr>
          <w:rFonts w:ascii="Times New Roman" w:hAnsi="Times New Roman" w:cs="Times New Roman"/>
        </w:rPr>
        <w:t xml:space="preserve">n khiếu nại </w:t>
      </w:r>
      <w:r w:rsidR="00BA6892" w:rsidRPr="009146D0">
        <w:rPr>
          <w:rFonts w:ascii="Times New Roman" w:hAnsi="Times New Roman" w:cs="Times New Roman"/>
        </w:rPr>
        <w:lastRenderedPageBreak/>
        <w:t>của bà</w:t>
      </w:r>
      <w:r w:rsidR="00DA46C1" w:rsidRPr="009146D0">
        <w:rPr>
          <w:rFonts w:ascii="Times New Roman" w:hAnsi="Times New Roman" w:cs="Times New Roman"/>
        </w:rPr>
        <w:t xml:space="preserve"> T. </w:t>
      </w:r>
      <w:r w:rsidR="006544D1" w:rsidRPr="009146D0">
        <w:rPr>
          <w:rFonts w:ascii="Times New Roman" w:hAnsi="Times New Roman" w:cs="Times New Roman"/>
        </w:rPr>
        <w:t>Không đồ</w:t>
      </w:r>
      <w:r w:rsidR="00AF5FEA" w:rsidRPr="009146D0">
        <w:rPr>
          <w:rFonts w:ascii="Times New Roman" w:hAnsi="Times New Roman" w:cs="Times New Roman"/>
        </w:rPr>
        <w:t>ng ý, b</w:t>
      </w:r>
      <w:r w:rsidR="006544D1" w:rsidRPr="009146D0">
        <w:rPr>
          <w:rFonts w:ascii="Times New Roman" w:hAnsi="Times New Roman" w:cs="Times New Roman"/>
        </w:rPr>
        <w:t>à</w:t>
      </w:r>
      <w:r w:rsidR="00BA6892" w:rsidRPr="009146D0">
        <w:rPr>
          <w:rFonts w:ascii="Times New Roman" w:hAnsi="Times New Roman" w:cs="Times New Roman"/>
        </w:rPr>
        <w:t xml:space="preserve"> T khởi kiện </w:t>
      </w:r>
      <w:r w:rsidR="00AF5FEA" w:rsidRPr="009146D0">
        <w:rPr>
          <w:rFonts w:ascii="Times New Roman" w:hAnsi="Times New Roman" w:cs="Times New Roman"/>
        </w:rPr>
        <w:t>lên</w:t>
      </w:r>
      <w:r w:rsidR="00BA6892" w:rsidRPr="009146D0">
        <w:rPr>
          <w:rFonts w:ascii="Times New Roman" w:hAnsi="Times New Roman" w:cs="Times New Roman"/>
        </w:rPr>
        <w:t xml:space="preserve"> TAND tỉnh </w:t>
      </w:r>
      <w:r w:rsidR="00ED2D11" w:rsidRPr="009146D0">
        <w:rPr>
          <w:rFonts w:ascii="Times New Roman" w:hAnsi="Times New Roman" w:cs="Times New Roman"/>
        </w:rPr>
        <w:t>TG</w:t>
      </w:r>
      <w:r w:rsidR="00BA6892" w:rsidRPr="009146D0">
        <w:rPr>
          <w:rFonts w:ascii="Times New Roman" w:hAnsi="Times New Roman" w:cs="Times New Roman"/>
        </w:rPr>
        <w:t xml:space="preserve"> yêu cầu </w:t>
      </w:r>
      <w:r w:rsidR="008540FE" w:rsidRPr="009146D0">
        <w:rPr>
          <w:rFonts w:ascii="Times New Roman" w:hAnsi="Times New Roman" w:cs="Times New Roman"/>
        </w:rPr>
        <w:t>Toà</w:t>
      </w:r>
      <w:r w:rsidR="00BA6892" w:rsidRPr="009146D0">
        <w:rPr>
          <w:rFonts w:ascii="Times New Roman" w:hAnsi="Times New Roman" w:cs="Times New Roman"/>
        </w:rPr>
        <w:t xml:space="preserve"> h</w:t>
      </w:r>
      <w:r w:rsidR="00DA46C1" w:rsidRPr="009146D0">
        <w:rPr>
          <w:rFonts w:ascii="Times New Roman" w:hAnsi="Times New Roman" w:cs="Times New Roman"/>
        </w:rPr>
        <w:t>ủy Quyết</w:t>
      </w:r>
      <w:r w:rsidR="00BA6892" w:rsidRPr="009146D0">
        <w:rPr>
          <w:rFonts w:ascii="Times New Roman" w:hAnsi="Times New Roman" w:cs="Times New Roman"/>
        </w:rPr>
        <w:t xml:space="preserve"> định số 1260/QĐ-UBND </w:t>
      </w:r>
      <w:r w:rsidR="00DA46C1" w:rsidRPr="009146D0">
        <w:rPr>
          <w:rFonts w:ascii="Times New Roman" w:hAnsi="Times New Roman" w:cs="Times New Roman"/>
        </w:rPr>
        <w:t>và Công va</w:t>
      </w:r>
      <w:r w:rsidR="00DA46C1" w:rsidRPr="009146D0">
        <w:rPr>
          <w:rFonts w:ascii="Cambria Math" w:hAnsi="Cambria Math" w:cs="Cambria Math"/>
        </w:rPr>
        <w:t>̆</w:t>
      </w:r>
      <w:r w:rsidR="00DA46C1" w:rsidRPr="009146D0">
        <w:rPr>
          <w:rFonts w:ascii="Times New Roman" w:hAnsi="Times New Roman" w:cs="Times New Roman"/>
        </w:rPr>
        <w:t xml:space="preserve">n số 6700/UBND-TD. </w:t>
      </w:r>
      <w:r w:rsidR="00091D5D" w:rsidRPr="009146D0">
        <w:rPr>
          <w:rFonts w:ascii="Times New Roman" w:hAnsi="Times New Roman" w:cs="Times New Roman"/>
        </w:rPr>
        <w:t xml:space="preserve">Ngày 29/11/2019, TAND tỉnh </w:t>
      </w:r>
      <w:r w:rsidR="00ED2D11" w:rsidRPr="009146D0">
        <w:rPr>
          <w:rFonts w:ascii="Times New Roman" w:hAnsi="Times New Roman" w:cs="Times New Roman"/>
        </w:rPr>
        <w:t>TG</w:t>
      </w:r>
      <w:r w:rsidR="00091D5D" w:rsidRPr="009146D0">
        <w:rPr>
          <w:rFonts w:ascii="Times New Roman" w:hAnsi="Times New Roman" w:cs="Times New Roman"/>
        </w:rPr>
        <w:t xml:space="preserve"> ban hành Bản án số 57/2019/HC-ST bác toàn bộ yêu cầu khởi kiện của bà T. Không đồng ý, </w:t>
      </w:r>
      <w:r w:rsidR="00BA1117" w:rsidRPr="009146D0">
        <w:rPr>
          <w:rFonts w:ascii="Times New Roman" w:hAnsi="Times New Roman" w:cs="Times New Roman"/>
        </w:rPr>
        <w:t>n</w:t>
      </w:r>
      <w:r w:rsidR="009B49A1" w:rsidRPr="009146D0">
        <w:rPr>
          <w:rFonts w:ascii="Times New Roman" w:hAnsi="Times New Roman" w:cs="Times New Roman"/>
        </w:rPr>
        <w:t xml:space="preserve">gày 10/12/2019, bà T kháng cáo, yêu cầu </w:t>
      </w:r>
      <w:r w:rsidR="008540FE" w:rsidRPr="009146D0">
        <w:rPr>
          <w:rFonts w:ascii="Times New Roman" w:hAnsi="Times New Roman" w:cs="Times New Roman"/>
        </w:rPr>
        <w:t>Toà</w:t>
      </w:r>
      <w:r w:rsidR="009B49A1" w:rsidRPr="009146D0">
        <w:rPr>
          <w:rFonts w:ascii="Times New Roman" w:hAnsi="Times New Roman" w:cs="Times New Roman"/>
        </w:rPr>
        <w:t xml:space="preserve"> án cấp phúc thẩm chấp nhạ</w:t>
      </w:r>
      <w:r w:rsidR="009B49A1" w:rsidRPr="009146D0">
        <w:rPr>
          <w:rFonts w:ascii="Cambria Math" w:hAnsi="Cambria Math" w:cs="Cambria Math"/>
        </w:rPr>
        <w:t>̂</w:t>
      </w:r>
      <w:r w:rsidR="009B49A1" w:rsidRPr="009146D0">
        <w:rPr>
          <w:rFonts w:ascii="Times New Roman" w:hAnsi="Times New Roman" w:cs="Times New Roman"/>
        </w:rPr>
        <w:t>n yêu cầu khởi kiẹ</w:t>
      </w:r>
      <w:r w:rsidR="009B49A1" w:rsidRPr="009146D0">
        <w:rPr>
          <w:rFonts w:ascii="Cambria Math" w:hAnsi="Cambria Math" w:cs="Cambria Math"/>
        </w:rPr>
        <w:t>̂</w:t>
      </w:r>
      <w:r w:rsidR="009B49A1" w:rsidRPr="009146D0">
        <w:rPr>
          <w:rFonts w:ascii="Times New Roman" w:hAnsi="Times New Roman" w:cs="Times New Roman"/>
        </w:rPr>
        <w:t>n của bà tuyên hủy Quyết định số 1260/QĐ-UBND và Công va</w:t>
      </w:r>
      <w:r w:rsidR="009B49A1" w:rsidRPr="009146D0">
        <w:rPr>
          <w:rFonts w:ascii="Cambria Math" w:hAnsi="Cambria Math" w:cs="Cambria Math"/>
        </w:rPr>
        <w:t>̆</w:t>
      </w:r>
      <w:r w:rsidR="009B49A1" w:rsidRPr="009146D0">
        <w:rPr>
          <w:rFonts w:ascii="Times New Roman" w:hAnsi="Times New Roman" w:cs="Times New Roman"/>
        </w:rPr>
        <w:t xml:space="preserve">n số 6700/UBND-TD của UBND thành phố M, tỉnh </w:t>
      </w:r>
      <w:r w:rsidR="00ED2D11" w:rsidRPr="009146D0">
        <w:rPr>
          <w:rFonts w:ascii="Times New Roman" w:hAnsi="Times New Roman" w:cs="Times New Roman"/>
        </w:rPr>
        <w:t>TG</w:t>
      </w:r>
      <w:r w:rsidR="009B49A1" w:rsidRPr="009146D0">
        <w:rPr>
          <w:rFonts w:ascii="Times New Roman" w:hAnsi="Times New Roman" w:cs="Times New Roman"/>
        </w:rPr>
        <w:t>. Ngày 21/5/2020, bà T bổ sung</w:t>
      </w:r>
      <w:r w:rsidR="009D4939" w:rsidRPr="009146D0">
        <w:rPr>
          <w:rFonts w:ascii="Times New Roman" w:hAnsi="Times New Roman" w:cs="Times New Roman"/>
        </w:rPr>
        <w:t xml:space="preserve"> kháng cáo</w:t>
      </w:r>
      <w:r w:rsidR="00CF2429" w:rsidRPr="009146D0">
        <w:rPr>
          <w:rFonts w:ascii="Times New Roman" w:hAnsi="Times New Roman" w:cs="Times New Roman"/>
        </w:rPr>
        <w:t>, trong đó</w:t>
      </w:r>
      <w:r w:rsidR="009D4939" w:rsidRPr="009146D0">
        <w:rPr>
          <w:rFonts w:ascii="Times New Roman" w:hAnsi="Times New Roman" w:cs="Times New Roman"/>
          <w:i/>
        </w:rPr>
        <w:t xml:space="preserve"> “</w:t>
      </w:r>
      <w:r w:rsidR="009B49A1" w:rsidRPr="009146D0">
        <w:rPr>
          <w:rFonts w:ascii="Times New Roman" w:hAnsi="Times New Roman" w:cs="Times New Roman"/>
          <w:i/>
        </w:rPr>
        <w:t>khẳng định phần đất (</w:t>
      </w:r>
      <w:r w:rsidR="001658F5" w:rsidRPr="009146D0">
        <w:rPr>
          <w:rFonts w:ascii="Times New Roman" w:hAnsi="Times New Roman" w:cs="Times New Roman"/>
          <w:i/>
        </w:rPr>
        <w:t xml:space="preserve">mương </w:t>
      </w:r>
      <w:r w:rsidR="009B49A1" w:rsidRPr="009146D0">
        <w:rPr>
          <w:rFonts w:ascii="Times New Roman" w:hAnsi="Times New Roman" w:cs="Times New Roman"/>
          <w:i/>
        </w:rPr>
        <w:t>+ đu</w:t>
      </w:r>
      <w:r w:rsidR="009B49A1" w:rsidRPr="009146D0">
        <w:rPr>
          <w:rFonts w:ascii="Cambria Math" w:hAnsi="Cambria Math" w:cs="Cambria Math"/>
          <w:i/>
        </w:rPr>
        <w:t>̛</w:t>
      </w:r>
      <w:r w:rsidR="009B49A1" w:rsidRPr="009146D0">
        <w:rPr>
          <w:rFonts w:ascii="Times New Roman" w:hAnsi="Times New Roman" w:cs="Times New Roman"/>
          <w:i/>
        </w:rPr>
        <w:t xml:space="preserve">ờng đi) mà UBND thành phố M cho là </w:t>
      </w:r>
      <w:r w:rsidR="00391061" w:rsidRPr="009146D0">
        <w:rPr>
          <w:rFonts w:ascii="Times New Roman" w:hAnsi="Times New Roman" w:cs="Times New Roman"/>
          <w:i/>
        </w:rPr>
        <w:t xml:space="preserve">đất </w:t>
      </w:r>
      <w:r w:rsidR="009B49A1" w:rsidRPr="009146D0">
        <w:rPr>
          <w:rFonts w:ascii="Times New Roman" w:hAnsi="Times New Roman" w:cs="Times New Roman"/>
          <w:i/>
        </w:rPr>
        <w:t xml:space="preserve">công </w:t>
      </w:r>
      <w:r w:rsidR="001658F5" w:rsidRPr="009146D0">
        <w:rPr>
          <w:rFonts w:ascii="Times New Roman" w:hAnsi="Times New Roman" w:cs="Times New Roman"/>
          <w:i/>
        </w:rPr>
        <w:t>cộng</w:t>
      </w:r>
      <w:r w:rsidR="009B49A1" w:rsidRPr="009146D0">
        <w:rPr>
          <w:rFonts w:ascii="Times New Roman" w:hAnsi="Times New Roman" w:cs="Times New Roman"/>
          <w:i/>
        </w:rPr>
        <w:t xml:space="preserve"> là không đúng, mà nó </w:t>
      </w:r>
      <w:r w:rsidR="001658F5" w:rsidRPr="009146D0">
        <w:rPr>
          <w:rFonts w:ascii="Times New Roman" w:hAnsi="Times New Roman" w:cs="Times New Roman"/>
          <w:i/>
        </w:rPr>
        <w:t>thuộc</w:t>
      </w:r>
      <w:r w:rsidR="009B49A1" w:rsidRPr="009146D0">
        <w:rPr>
          <w:rFonts w:ascii="Times New Roman" w:hAnsi="Times New Roman" w:cs="Times New Roman"/>
          <w:i/>
        </w:rPr>
        <w:t xml:space="preserve"> quyền sở hữu của gia đình bà Nguyễn Thanh T, gia đình bà Nguyễn Thanh T bồi đắp và sử dụng ổn định từ na</w:t>
      </w:r>
      <w:r w:rsidR="009B49A1" w:rsidRPr="009146D0">
        <w:rPr>
          <w:rFonts w:ascii="Cambria Math" w:hAnsi="Cambria Math" w:cs="Cambria Math"/>
          <w:i/>
        </w:rPr>
        <w:t>̆</w:t>
      </w:r>
      <w:r w:rsidR="009B49A1" w:rsidRPr="009146D0">
        <w:rPr>
          <w:rFonts w:ascii="Times New Roman" w:hAnsi="Times New Roman" w:cs="Times New Roman"/>
          <w:i/>
        </w:rPr>
        <w:t>m 1991 tới nay</w:t>
      </w:r>
      <w:r w:rsidR="009D4939" w:rsidRPr="009146D0">
        <w:rPr>
          <w:rFonts w:ascii="Times New Roman" w:hAnsi="Times New Roman" w:cs="Times New Roman"/>
          <w:i/>
        </w:rPr>
        <w:t>”</w:t>
      </w:r>
      <w:r w:rsidR="00EF793C" w:rsidRPr="009146D0">
        <w:rPr>
          <w:rFonts w:ascii="Times New Roman" w:hAnsi="Times New Roman" w:cs="Times New Roman"/>
        </w:rPr>
        <w:t xml:space="preserve">. Việc bổ sung này được </w:t>
      </w:r>
      <w:r w:rsidR="00815071" w:rsidRPr="009146D0">
        <w:rPr>
          <w:rFonts w:ascii="Times New Roman" w:hAnsi="Times New Roman" w:cs="Times New Roman"/>
        </w:rPr>
        <w:t>t</w:t>
      </w:r>
      <w:r w:rsidR="008540FE" w:rsidRPr="009146D0">
        <w:rPr>
          <w:rFonts w:ascii="Times New Roman" w:hAnsi="Times New Roman" w:cs="Times New Roman"/>
        </w:rPr>
        <w:t>oà</w:t>
      </w:r>
      <w:r w:rsidR="00EF793C" w:rsidRPr="009146D0">
        <w:rPr>
          <w:rFonts w:ascii="Times New Roman" w:hAnsi="Times New Roman" w:cs="Times New Roman"/>
        </w:rPr>
        <w:t xml:space="preserve"> án chấp nhận xem xét</w:t>
      </w:r>
      <w:r w:rsidR="00FD7A99" w:rsidRPr="009146D0">
        <w:rPr>
          <w:rStyle w:val="FootnoteReference"/>
          <w:rFonts w:ascii="Times New Roman" w:hAnsi="Times New Roman" w:cs="Times New Roman"/>
          <w:lang w:val="nl-NL"/>
        </w:rPr>
        <w:footnoteReference w:id="13"/>
      </w:r>
      <w:r w:rsidR="007F371B" w:rsidRPr="009146D0">
        <w:rPr>
          <w:rFonts w:ascii="Times New Roman" w:hAnsi="Times New Roman" w:cs="Times New Roman"/>
        </w:rPr>
        <w:t>.</w:t>
      </w:r>
      <w:r w:rsidR="00EF793C" w:rsidRPr="009146D0">
        <w:rPr>
          <w:rFonts w:ascii="Times New Roman" w:hAnsi="Times New Roman" w:cs="Times New Roman"/>
        </w:rPr>
        <w:t xml:space="preserve"> </w:t>
      </w:r>
      <w:r w:rsidR="00D67D4D" w:rsidRPr="009146D0">
        <w:rPr>
          <w:rFonts w:ascii="Times New Roman" w:hAnsi="Times New Roman" w:cs="Times New Roman"/>
        </w:rPr>
        <w:t>Như vậy, trong vụ</w:t>
      </w:r>
      <w:r w:rsidR="007F371B" w:rsidRPr="009146D0">
        <w:rPr>
          <w:rFonts w:ascii="Times New Roman" w:hAnsi="Times New Roman" w:cs="Times New Roman"/>
        </w:rPr>
        <w:t xml:space="preserve"> án này</w:t>
      </w:r>
      <w:r w:rsidR="00D67D4D" w:rsidRPr="009146D0">
        <w:rPr>
          <w:rFonts w:ascii="Times New Roman" w:hAnsi="Times New Roman" w:cs="Times New Roman"/>
        </w:rPr>
        <w:t>, bà T đã bổ sung kháng cáo và việc bổ sung này</w:t>
      </w:r>
      <w:r w:rsidR="00204A67" w:rsidRPr="009146D0">
        <w:rPr>
          <w:rFonts w:ascii="Times New Roman" w:hAnsi="Times New Roman" w:cs="Times New Roman"/>
        </w:rPr>
        <w:t xml:space="preserve"> được thực hiện ở thời điểm hết thời hạn kháng cáo nhưng</w:t>
      </w:r>
      <w:r w:rsidR="00D67D4D" w:rsidRPr="009146D0">
        <w:rPr>
          <w:rFonts w:ascii="Times New Roman" w:hAnsi="Times New Roman" w:cs="Times New Roman"/>
        </w:rPr>
        <w:t xml:space="preserve"> không vượt quá phạm vi kháng cáo ban đầu</w:t>
      </w:r>
      <w:r w:rsidR="002E6D93" w:rsidRPr="009146D0">
        <w:rPr>
          <w:rFonts w:ascii="Times New Roman" w:hAnsi="Times New Roman" w:cs="Times New Roman"/>
        </w:rPr>
        <w:t xml:space="preserve"> nên được </w:t>
      </w:r>
      <w:r w:rsidR="00815071" w:rsidRPr="009146D0">
        <w:rPr>
          <w:rFonts w:ascii="Times New Roman" w:hAnsi="Times New Roman" w:cs="Times New Roman"/>
        </w:rPr>
        <w:t>t</w:t>
      </w:r>
      <w:r w:rsidR="008540FE" w:rsidRPr="009146D0">
        <w:rPr>
          <w:rFonts w:ascii="Times New Roman" w:hAnsi="Times New Roman" w:cs="Times New Roman"/>
        </w:rPr>
        <w:t>oà</w:t>
      </w:r>
      <w:r w:rsidR="002E6D93" w:rsidRPr="009146D0">
        <w:rPr>
          <w:rFonts w:ascii="Times New Roman" w:hAnsi="Times New Roman" w:cs="Times New Roman"/>
        </w:rPr>
        <w:t xml:space="preserve"> cấp phúc thẩm chấp nhận</w:t>
      </w:r>
      <w:r w:rsidR="008B30C7" w:rsidRPr="009146D0">
        <w:rPr>
          <w:rFonts w:ascii="Times New Roman" w:hAnsi="Times New Roman" w:cs="Times New Roman"/>
        </w:rPr>
        <w:t xml:space="preserve"> xem xét</w:t>
      </w:r>
      <w:r w:rsidR="00D67D4D" w:rsidRPr="009146D0">
        <w:rPr>
          <w:rFonts w:ascii="Times New Roman" w:hAnsi="Times New Roman" w:cs="Times New Roman"/>
        </w:rPr>
        <w:t xml:space="preserve">. </w:t>
      </w:r>
      <w:r w:rsidR="002E6D93" w:rsidRPr="009146D0">
        <w:rPr>
          <w:rFonts w:ascii="Times New Roman" w:hAnsi="Times New Roman" w:cs="Times New Roman"/>
        </w:rPr>
        <w:t>Thực chất</w:t>
      </w:r>
      <w:r w:rsidR="00D67D4D" w:rsidRPr="009146D0">
        <w:rPr>
          <w:rFonts w:ascii="Times New Roman" w:hAnsi="Times New Roman" w:cs="Times New Roman"/>
        </w:rPr>
        <w:t xml:space="preserve">, việc bổ sung </w:t>
      </w:r>
      <w:r w:rsidR="002E6D93" w:rsidRPr="009146D0">
        <w:rPr>
          <w:rFonts w:ascii="Times New Roman" w:hAnsi="Times New Roman" w:cs="Times New Roman"/>
        </w:rPr>
        <w:t xml:space="preserve">kháng cáo </w:t>
      </w:r>
      <w:r w:rsidR="00D67D4D" w:rsidRPr="009146D0">
        <w:rPr>
          <w:rFonts w:ascii="Times New Roman" w:hAnsi="Times New Roman" w:cs="Times New Roman"/>
        </w:rPr>
        <w:t xml:space="preserve">của bà </w:t>
      </w:r>
      <w:r w:rsidR="002E6D93" w:rsidRPr="009146D0">
        <w:rPr>
          <w:rFonts w:ascii="Times New Roman" w:hAnsi="Times New Roman" w:cs="Times New Roman"/>
        </w:rPr>
        <w:t>T vẫn nằm trong phạm vi kháng cáo ban đầu bà nêu trong đơn kháng cáo</w:t>
      </w:r>
      <w:r w:rsidR="009D4939" w:rsidRPr="009146D0">
        <w:rPr>
          <w:rFonts w:ascii="Times New Roman" w:hAnsi="Times New Roman" w:cs="Times New Roman"/>
        </w:rPr>
        <w:t xml:space="preserve">, có chăng chỉ là làm rõ thêm yêu cầu của bà trong đơn kháng cáo đã nêu. </w:t>
      </w:r>
    </w:p>
    <w:p w:rsidR="0089712F" w:rsidRPr="009146D0" w:rsidRDefault="004B4152" w:rsidP="00556EA0">
      <w:pPr>
        <w:widowControl w:val="0"/>
        <w:autoSpaceDE w:val="0"/>
        <w:autoSpaceDN w:val="0"/>
        <w:adjustRightInd w:val="0"/>
        <w:spacing w:line="271" w:lineRule="auto"/>
        <w:ind w:firstLine="369"/>
        <w:jc w:val="both"/>
        <w:rPr>
          <w:rFonts w:ascii="Times New Roman" w:hAnsi="Times New Roman" w:cs="Times New Roman"/>
        </w:rPr>
      </w:pPr>
      <w:r w:rsidRPr="009146D0">
        <w:rPr>
          <w:rFonts w:ascii="Times New Roman" w:hAnsi="Times New Roman" w:cs="Times New Roman"/>
        </w:rPr>
        <w:t xml:space="preserve">Vụ án 2: Người kháng cáo thay đổi kháng cáo không vượt quá phạm vi kháng cáo ban đầu và được </w:t>
      </w:r>
      <w:r w:rsidR="003978D4" w:rsidRPr="009146D0">
        <w:rPr>
          <w:rFonts w:ascii="Times New Roman" w:hAnsi="Times New Roman" w:cs="Times New Roman"/>
        </w:rPr>
        <w:t>t</w:t>
      </w:r>
      <w:r w:rsidR="008540FE" w:rsidRPr="009146D0">
        <w:rPr>
          <w:rFonts w:ascii="Times New Roman" w:hAnsi="Times New Roman" w:cs="Times New Roman"/>
        </w:rPr>
        <w:t>oà</w:t>
      </w:r>
      <w:r w:rsidRPr="009146D0">
        <w:rPr>
          <w:rFonts w:ascii="Times New Roman" w:hAnsi="Times New Roman" w:cs="Times New Roman"/>
        </w:rPr>
        <w:t xml:space="preserve"> án chấp nhận</w:t>
      </w:r>
    </w:p>
    <w:p w:rsidR="00980248" w:rsidRPr="009146D0" w:rsidRDefault="0089712F" w:rsidP="009146D0">
      <w:pPr>
        <w:widowControl w:val="0"/>
        <w:autoSpaceDE w:val="0"/>
        <w:autoSpaceDN w:val="0"/>
        <w:adjustRightInd w:val="0"/>
        <w:spacing w:line="276" w:lineRule="auto"/>
        <w:ind w:firstLine="369"/>
        <w:jc w:val="both"/>
        <w:rPr>
          <w:rFonts w:ascii="Times New Roman" w:hAnsi="Times New Roman" w:cs="Times New Roman"/>
        </w:rPr>
      </w:pPr>
      <w:r w:rsidRPr="009146D0">
        <w:rPr>
          <w:rFonts w:ascii="Times New Roman" w:hAnsi="Times New Roman" w:cs="Times New Roman"/>
        </w:rPr>
        <w:t>Ông A khởi kiẹ</w:t>
      </w:r>
      <w:r w:rsidRPr="009146D0">
        <w:rPr>
          <w:rFonts w:ascii="Cambria Math" w:hAnsi="Cambria Math" w:cs="Cambria Math"/>
        </w:rPr>
        <w:t>̂</w:t>
      </w:r>
      <w:r w:rsidRPr="009146D0">
        <w:rPr>
          <w:rFonts w:ascii="Times New Roman" w:hAnsi="Times New Roman" w:cs="Times New Roman"/>
        </w:rPr>
        <w:t xml:space="preserve">n yêu cầu </w:t>
      </w:r>
      <w:r w:rsidR="008540FE" w:rsidRPr="009146D0">
        <w:rPr>
          <w:rFonts w:ascii="Times New Roman" w:hAnsi="Times New Roman" w:cs="Times New Roman"/>
        </w:rPr>
        <w:t>Toà</w:t>
      </w:r>
      <w:r w:rsidRPr="009146D0">
        <w:rPr>
          <w:rFonts w:ascii="Times New Roman" w:hAnsi="Times New Roman" w:cs="Times New Roman"/>
        </w:rPr>
        <w:t xml:space="preserve"> án </w:t>
      </w:r>
      <w:r w:rsidR="00D270EE" w:rsidRPr="009146D0">
        <w:rPr>
          <w:rFonts w:ascii="Times New Roman" w:hAnsi="Times New Roman" w:cs="Times New Roman"/>
        </w:rPr>
        <w:t xml:space="preserve">tỉnh </w:t>
      </w:r>
      <w:r w:rsidR="00B34874" w:rsidRPr="009146D0">
        <w:rPr>
          <w:rFonts w:ascii="Times New Roman" w:hAnsi="Times New Roman" w:cs="Times New Roman"/>
        </w:rPr>
        <w:t>BRVT</w:t>
      </w:r>
      <w:r w:rsidR="00D270EE" w:rsidRPr="009146D0">
        <w:rPr>
          <w:rFonts w:ascii="Times New Roman" w:hAnsi="Times New Roman" w:cs="Times New Roman"/>
        </w:rPr>
        <w:t xml:space="preserve"> </w:t>
      </w:r>
      <w:r w:rsidRPr="009146D0">
        <w:rPr>
          <w:rFonts w:ascii="Times New Roman" w:hAnsi="Times New Roman" w:cs="Times New Roman"/>
        </w:rPr>
        <w:t>giải quyết</w:t>
      </w:r>
      <w:r w:rsidR="00D270EE" w:rsidRPr="009146D0">
        <w:rPr>
          <w:rFonts w:ascii="Times New Roman" w:hAnsi="Times New Roman" w:cs="Times New Roman"/>
        </w:rPr>
        <w:t>, tuyên</w:t>
      </w:r>
      <w:r w:rsidRPr="009146D0">
        <w:rPr>
          <w:rFonts w:ascii="Times New Roman" w:hAnsi="Times New Roman" w:cs="Times New Roman"/>
        </w:rPr>
        <w:t xml:space="preserve"> hủy Quyết định số 1740</w:t>
      </w:r>
      <w:r w:rsidR="00317246" w:rsidRPr="009146D0">
        <w:rPr>
          <w:rFonts w:ascii="Times New Roman" w:hAnsi="Times New Roman" w:cs="Times New Roman"/>
        </w:rPr>
        <w:t>/</w:t>
      </w:r>
      <w:r w:rsidR="00B34874" w:rsidRPr="009146D0">
        <w:rPr>
          <w:rFonts w:ascii="Times New Roman" w:hAnsi="Times New Roman" w:cs="Times New Roman"/>
        </w:rPr>
        <w:t xml:space="preserve">QĐ-UBND của UBND huyện B </w:t>
      </w:r>
      <w:r w:rsidR="00C52F57" w:rsidRPr="009146D0">
        <w:rPr>
          <w:rFonts w:ascii="Times New Roman" w:hAnsi="Times New Roman" w:cs="Times New Roman"/>
        </w:rPr>
        <w:t>về viẹ</w:t>
      </w:r>
      <w:r w:rsidR="00C52F57" w:rsidRPr="009146D0">
        <w:rPr>
          <w:rFonts w:ascii="Cambria Math" w:hAnsi="Cambria Math" w:cs="Cambria Math"/>
        </w:rPr>
        <w:t>̂</w:t>
      </w:r>
      <w:r w:rsidR="00C52F57" w:rsidRPr="009146D0">
        <w:rPr>
          <w:rFonts w:ascii="Times New Roman" w:hAnsi="Times New Roman" w:cs="Times New Roman"/>
        </w:rPr>
        <w:t xml:space="preserve">c thu hồi </w:t>
      </w:r>
      <w:r w:rsidR="00B34874" w:rsidRPr="009146D0">
        <w:rPr>
          <w:rFonts w:ascii="Times New Roman" w:hAnsi="Times New Roman" w:cs="Times New Roman"/>
        </w:rPr>
        <w:t xml:space="preserve">đất nhà ông A và tuyên </w:t>
      </w:r>
      <w:r w:rsidRPr="009146D0">
        <w:rPr>
          <w:rFonts w:ascii="Times New Roman" w:hAnsi="Times New Roman" w:cs="Times New Roman"/>
        </w:rPr>
        <w:t xml:space="preserve">hủy </w:t>
      </w:r>
      <w:r w:rsidR="00B34874" w:rsidRPr="009146D0">
        <w:rPr>
          <w:rFonts w:ascii="Times New Roman" w:hAnsi="Times New Roman" w:cs="Times New Roman"/>
        </w:rPr>
        <w:t xml:space="preserve">luôn </w:t>
      </w:r>
      <w:r w:rsidRPr="009146D0">
        <w:rPr>
          <w:rFonts w:ascii="Times New Roman" w:hAnsi="Times New Roman" w:cs="Times New Roman"/>
        </w:rPr>
        <w:lastRenderedPageBreak/>
        <w:t>Quyết định số 1795</w:t>
      </w:r>
      <w:r w:rsidR="00C52F57" w:rsidRPr="009146D0">
        <w:rPr>
          <w:rFonts w:ascii="Times New Roman" w:hAnsi="Times New Roman" w:cs="Times New Roman"/>
        </w:rPr>
        <w:t>/</w:t>
      </w:r>
      <w:r w:rsidR="00E80463" w:rsidRPr="009146D0">
        <w:rPr>
          <w:rFonts w:ascii="Times New Roman" w:hAnsi="Times New Roman" w:cs="Times New Roman"/>
        </w:rPr>
        <w:t>QĐ-</w:t>
      </w:r>
      <w:r w:rsidR="00C52F57" w:rsidRPr="009146D0">
        <w:rPr>
          <w:rFonts w:ascii="Times New Roman" w:hAnsi="Times New Roman" w:cs="Times New Roman"/>
        </w:rPr>
        <w:t xml:space="preserve">UBND của UBND huyện B về việc phê duyệt kinh phí bồi thường, hỗ trợ, tái định cư </w:t>
      </w:r>
      <w:r w:rsidR="00B34874" w:rsidRPr="009146D0">
        <w:rPr>
          <w:rFonts w:ascii="Times New Roman" w:hAnsi="Times New Roman" w:cs="Times New Roman"/>
        </w:rPr>
        <w:t>khi thu hồi đất nhà ông A</w:t>
      </w:r>
      <w:r w:rsidR="00980248" w:rsidRPr="009146D0">
        <w:rPr>
          <w:rFonts w:ascii="Times New Roman" w:hAnsi="Times New Roman" w:cs="Times New Roman"/>
        </w:rPr>
        <w:t xml:space="preserve">. Ngày 11/11/2020, </w:t>
      </w:r>
      <w:r w:rsidR="008540FE" w:rsidRPr="009146D0">
        <w:rPr>
          <w:rFonts w:ascii="Times New Roman" w:hAnsi="Times New Roman" w:cs="Times New Roman"/>
        </w:rPr>
        <w:t>Toà</w:t>
      </w:r>
      <w:r w:rsidR="00980248" w:rsidRPr="009146D0">
        <w:rPr>
          <w:rFonts w:ascii="Times New Roman" w:hAnsi="Times New Roman" w:cs="Times New Roman"/>
        </w:rPr>
        <w:t xml:space="preserve"> án nhân dân tỉnh </w:t>
      </w:r>
      <w:r w:rsidR="00B34874" w:rsidRPr="009146D0">
        <w:rPr>
          <w:rFonts w:ascii="Times New Roman" w:hAnsi="Times New Roman" w:cs="Times New Roman"/>
        </w:rPr>
        <w:t>BRVT</w:t>
      </w:r>
      <w:r w:rsidR="00980248" w:rsidRPr="009146D0">
        <w:rPr>
          <w:rFonts w:ascii="Times New Roman" w:hAnsi="Times New Roman" w:cs="Times New Roman"/>
        </w:rPr>
        <w:t xml:space="preserve"> ban hành bản án hành chính sơ thẩm số 67/2020/HC</w:t>
      </w:r>
      <w:r w:rsidR="00170A5A" w:rsidRPr="009146D0">
        <w:rPr>
          <w:rFonts w:ascii="Times New Roman" w:hAnsi="Times New Roman" w:cs="Times New Roman"/>
        </w:rPr>
        <w:t>-</w:t>
      </w:r>
      <w:r w:rsidR="00F11D06" w:rsidRPr="009146D0">
        <w:rPr>
          <w:rFonts w:ascii="Times New Roman" w:hAnsi="Times New Roman" w:cs="Times New Roman"/>
        </w:rPr>
        <w:t>ST tuyên: b</w:t>
      </w:r>
      <w:r w:rsidR="00980248" w:rsidRPr="009146D0">
        <w:rPr>
          <w:rFonts w:ascii="Times New Roman" w:hAnsi="Times New Roman" w:cs="Times New Roman"/>
        </w:rPr>
        <w:t xml:space="preserve">ác toàn bộ các yêu cầu khởi kiện của ông A. Không đồng ý, ngày 18/11/2020 ông A làm đơn kháng cáo đề nghị </w:t>
      </w:r>
      <w:r w:rsidR="004B4A41" w:rsidRPr="009146D0">
        <w:rPr>
          <w:rFonts w:ascii="Times New Roman" w:hAnsi="Times New Roman" w:cs="Times New Roman"/>
        </w:rPr>
        <w:t>t</w:t>
      </w:r>
      <w:r w:rsidR="008540FE" w:rsidRPr="009146D0">
        <w:rPr>
          <w:rFonts w:ascii="Times New Roman" w:hAnsi="Times New Roman" w:cs="Times New Roman"/>
        </w:rPr>
        <w:t>oà</w:t>
      </w:r>
      <w:r w:rsidR="00980248" w:rsidRPr="009146D0">
        <w:rPr>
          <w:rFonts w:ascii="Times New Roman" w:hAnsi="Times New Roman" w:cs="Times New Roman"/>
        </w:rPr>
        <w:t xml:space="preserve"> án cấp phúc thẩm sửa bản án sơ thẩm theo hướng chấp nhận yêu cầu khởi kiện của ông</w:t>
      </w:r>
      <w:r w:rsidR="00B34874" w:rsidRPr="009146D0">
        <w:rPr>
          <w:rFonts w:ascii="Times New Roman" w:hAnsi="Times New Roman" w:cs="Times New Roman"/>
        </w:rPr>
        <w:t xml:space="preserve"> và được thụ l</w:t>
      </w:r>
      <w:r w:rsidR="004B4A41" w:rsidRPr="009146D0">
        <w:rPr>
          <w:rFonts w:ascii="Times New Roman" w:hAnsi="Times New Roman" w:cs="Times New Roman"/>
        </w:rPr>
        <w:t>í</w:t>
      </w:r>
      <w:r w:rsidR="00B34874" w:rsidRPr="009146D0">
        <w:rPr>
          <w:rFonts w:ascii="Times New Roman" w:hAnsi="Times New Roman" w:cs="Times New Roman"/>
        </w:rPr>
        <w:t xml:space="preserve"> giải quyết</w:t>
      </w:r>
      <w:r w:rsidR="00980248" w:rsidRPr="009146D0">
        <w:rPr>
          <w:rFonts w:ascii="Times New Roman" w:hAnsi="Times New Roman" w:cs="Times New Roman"/>
        </w:rPr>
        <w:t xml:space="preserve">. Tại phiên </w:t>
      </w:r>
      <w:r w:rsidR="008540FE" w:rsidRPr="009146D0">
        <w:rPr>
          <w:rFonts w:ascii="Times New Roman" w:hAnsi="Times New Roman" w:cs="Times New Roman"/>
        </w:rPr>
        <w:t>toà</w:t>
      </w:r>
      <w:r w:rsidR="00980248" w:rsidRPr="009146D0">
        <w:rPr>
          <w:rFonts w:ascii="Times New Roman" w:hAnsi="Times New Roman" w:cs="Times New Roman"/>
        </w:rPr>
        <w:t xml:space="preserve"> phúc thẩm, ngu</w:t>
      </w:r>
      <w:r w:rsidR="00980248" w:rsidRPr="009146D0">
        <w:rPr>
          <w:rFonts w:ascii="Cambria Math" w:hAnsi="Cambria Math" w:cs="Cambria Math"/>
        </w:rPr>
        <w:t>̛</w:t>
      </w:r>
      <w:r w:rsidR="00980248" w:rsidRPr="009146D0">
        <w:rPr>
          <w:rFonts w:ascii="Times New Roman" w:hAnsi="Times New Roman" w:cs="Times New Roman"/>
        </w:rPr>
        <w:t>ời đại diẹ</w:t>
      </w:r>
      <w:r w:rsidR="00980248" w:rsidRPr="009146D0">
        <w:rPr>
          <w:rFonts w:ascii="Cambria Math" w:hAnsi="Cambria Math" w:cs="Cambria Math"/>
        </w:rPr>
        <w:t>̂</w:t>
      </w:r>
      <w:r w:rsidR="00980248" w:rsidRPr="009146D0">
        <w:rPr>
          <w:rFonts w:ascii="Times New Roman" w:hAnsi="Times New Roman" w:cs="Times New Roman"/>
        </w:rPr>
        <w:t>n theo ủy quyền của ông A thay đổi yêu cầu kháng cáo đề nghị sửa Bản án so</w:t>
      </w:r>
      <w:r w:rsidR="00980248" w:rsidRPr="009146D0">
        <w:rPr>
          <w:rFonts w:ascii="Cambria Math" w:hAnsi="Cambria Math" w:cs="Cambria Math"/>
        </w:rPr>
        <w:t>̛</w:t>
      </w:r>
      <w:r w:rsidR="00980248" w:rsidRPr="009146D0">
        <w:rPr>
          <w:rFonts w:ascii="Times New Roman" w:hAnsi="Times New Roman" w:cs="Times New Roman"/>
        </w:rPr>
        <w:t xml:space="preserve"> thẩm chấp nhạ</w:t>
      </w:r>
      <w:r w:rsidR="00980248" w:rsidRPr="009146D0">
        <w:rPr>
          <w:rFonts w:ascii="Cambria Math" w:hAnsi="Cambria Math" w:cs="Cambria Math"/>
        </w:rPr>
        <w:t>̂</w:t>
      </w:r>
      <w:r w:rsidR="00980248" w:rsidRPr="009146D0">
        <w:rPr>
          <w:rFonts w:ascii="Times New Roman" w:hAnsi="Times New Roman" w:cs="Times New Roman"/>
        </w:rPr>
        <w:t>n yêu cầu khởi kiẹ</w:t>
      </w:r>
      <w:r w:rsidR="00980248" w:rsidRPr="009146D0">
        <w:rPr>
          <w:rFonts w:ascii="Cambria Math" w:hAnsi="Cambria Math" w:cs="Cambria Math"/>
        </w:rPr>
        <w:t>̂</w:t>
      </w:r>
      <w:r w:rsidR="00980248" w:rsidRPr="009146D0">
        <w:rPr>
          <w:rFonts w:ascii="Times New Roman" w:hAnsi="Times New Roman" w:cs="Times New Roman"/>
        </w:rPr>
        <w:t xml:space="preserve">n hủy Quyết định </w:t>
      </w:r>
      <w:r w:rsidR="00980248" w:rsidRPr="009146D0">
        <w:rPr>
          <w:rFonts w:ascii="Times New Roman" w:hAnsi="Times New Roman" w:cs="Times New Roman"/>
          <w:spacing w:val="-2"/>
        </w:rPr>
        <w:t>1795/QĐ-UBND của UBND huyẹ</w:t>
      </w:r>
      <w:r w:rsidR="00980248" w:rsidRPr="009146D0">
        <w:rPr>
          <w:rFonts w:ascii="Cambria Math" w:hAnsi="Cambria Math" w:cs="Cambria Math"/>
          <w:spacing w:val="-2"/>
        </w:rPr>
        <w:t>̂</w:t>
      </w:r>
      <w:r w:rsidR="00980248" w:rsidRPr="009146D0">
        <w:rPr>
          <w:rFonts w:ascii="Times New Roman" w:hAnsi="Times New Roman" w:cs="Times New Roman"/>
          <w:spacing w:val="-2"/>
        </w:rPr>
        <w:t>n B về</w:t>
      </w:r>
      <w:r w:rsidR="00556EA0" w:rsidRPr="009146D0">
        <w:rPr>
          <w:rFonts w:ascii="Times New Roman" w:hAnsi="Times New Roman" w:cs="Times New Roman"/>
          <w:spacing w:val="-2"/>
        </w:rPr>
        <w:t xml:space="preserve"> việc</w:t>
      </w:r>
      <w:r w:rsidR="00980248" w:rsidRPr="009146D0">
        <w:rPr>
          <w:rFonts w:ascii="Times New Roman" w:hAnsi="Times New Roman" w:cs="Times New Roman"/>
        </w:rPr>
        <w:t xml:space="preserve"> phê duyẹ</w:t>
      </w:r>
      <w:r w:rsidR="00980248" w:rsidRPr="009146D0">
        <w:rPr>
          <w:rFonts w:ascii="Cambria Math" w:hAnsi="Cambria Math" w:cs="Cambria Math"/>
        </w:rPr>
        <w:t>̂</w:t>
      </w:r>
      <w:r w:rsidR="00980248" w:rsidRPr="009146D0">
        <w:rPr>
          <w:rFonts w:ascii="Times New Roman" w:hAnsi="Times New Roman" w:cs="Times New Roman"/>
        </w:rPr>
        <w:t>t kinh phí bồi thu</w:t>
      </w:r>
      <w:r w:rsidR="00980248" w:rsidRPr="009146D0">
        <w:rPr>
          <w:rFonts w:ascii="Cambria Math" w:hAnsi="Cambria Math" w:cs="Cambria Math"/>
        </w:rPr>
        <w:t>̛</w:t>
      </w:r>
      <w:r w:rsidR="00980248" w:rsidRPr="009146D0">
        <w:rPr>
          <w:rFonts w:ascii="Times New Roman" w:hAnsi="Times New Roman" w:cs="Times New Roman"/>
        </w:rPr>
        <w:t>ờng, hỗ trợ, tái định cu</w:t>
      </w:r>
      <w:r w:rsidR="00980248" w:rsidRPr="009146D0">
        <w:rPr>
          <w:rFonts w:ascii="Cambria Math" w:hAnsi="Cambria Math" w:cs="Cambria Math"/>
        </w:rPr>
        <w:t>̛</w:t>
      </w:r>
      <w:r w:rsidR="00980248" w:rsidRPr="009146D0">
        <w:rPr>
          <w:rFonts w:ascii="Times New Roman" w:hAnsi="Times New Roman" w:cs="Times New Roman"/>
        </w:rPr>
        <w:t xml:space="preserve"> khi Nhà nu</w:t>
      </w:r>
      <w:r w:rsidR="00980248" w:rsidRPr="009146D0">
        <w:rPr>
          <w:rFonts w:ascii="Cambria Math" w:hAnsi="Cambria Math" w:cs="Cambria Math"/>
        </w:rPr>
        <w:t>̛</w:t>
      </w:r>
      <w:r w:rsidR="00980248" w:rsidRPr="009146D0">
        <w:rPr>
          <w:rFonts w:ascii="Times New Roman" w:hAnsi="Times New Roman" w:cs="Times New Roman"/>
        </w:rPr>
        <w:t xml:space="preserve">ớc thu hồi đất đối với </w:t>
      </w:r>
      <w:r w:rsidR="00A741CF" w:rsidRPr="009146D0">
        <w:rPr>
          <w:rFonts w:ascii="Times New Roman" w:hAnsi="Times New Roman" w:cs="Times New Roman"/>
        </w:rPr>
        <w:t>hộ</w:t>
      </w:r>
      <w:r w:rsidR="00980248" w:rsidRPr="009146D0">
        <w:rPr>
          <w:rFonts w:ascii="Times New Roman" w:hAnsi="Times New Roman" w:cs="Times New Roman"/>
        </w:rPr>
        <w:t xml:space="preserve"> ông A. Rút yêu cầu kháng cáo đối quyết định </w:t>
      </w:r>
      <w:r w:rsidR="00980248" w:rsidRPr="009146D0">
        <w:rPr>
          <w:rFonts w:ascii="Times New Roman" w:hAnsi="Times New Roman" w:cs="Times New Roman"/>
          <w:spacing w:val="-2"/>
        </w:rPr>
        <w:t>số 1740/QĐ-UBND của UBND huyẹ</w:t>
      </w:r>
      <w:r w:rsidR="00980248" w:rsidRPr="009146D0">
        <w:rPr>
          <w:rFonts w:ascii="Cambria Math" w:hAnsi="Cambria Math" w:cs="Cambria Math"/>
          <w:spacing w:val="-2"/>
        </w:rPr>
        <w:t>̂</w:t>
      </w:r>
      <w:r w:rsidR="00980248" w:rsidRPr="009146D0">
        <w:rPr>
          <w:rFonts w:ascii="Times New Roman" w:hAnsi="Times New Roman" w:cs="Times New Roman"/>
          <w:spacing w:val="-2"/>
        </w:rPr>
        <w:t>n B về viẹ</w:t>
      </w:r>
      <w:r w:rsidR="00980248" w:rsidRPr="009146D0">
        <w:rPr>
          <w:rFonts w:ascii="Cambria Math" w:hAnsi="Cambria Math" w:cs="Cambria Math"/>
          <w:spacing w:val="-2"/>
        </w:rPr>
        <w:t>̂</w:t>
      </w:r>
      <w:r w:rsidR="00980248" w:rsidRPr="009146D0">
        <w:rPr>
          <w:rFonts w:ascii="Times New Roman" w:hAnsi="Times New Roman" w:cs="Times New Roman"/>
          <w:spacing w:val="-2"/>
        </w:rPr>
        <w:t xml:space="preserve">c thu hồi </w:t>
      </w:r>
      <w:r w:rsidR="00B34874" w:rsidRPr="009146D0">
        <w:rPr>
          <w:rFonts w:ascii="Times New Roman" w:hAnsi="Times New Roman" w:cs="Times New Roman"/>
          <w:spacing w:val="-2"/>
        </w:rPr>
        <w:t>đất</w:t>
      </w:r>
      <w:r w:rsidR="00717F0F" w:rsidRPr="009146D0">
        <w:rPr>
          <w:rFonts w:ascii="Times New Roman" w:hAnsi="Times New Roman" w:cs="Times New Roman"/>
          <w:spacing w:val="-2"/>
        </w:rPr>
        <w:t xml:space="preserve"> </w:t>
      </w:r>
      <w:r w:rsidR="00980248" w:rsidRPr="009146D0">
        <w:rPr>
          <w:rFonts w:ascii="Times New Roman" w:hAnsi="Times New Roman" w:cs="Times New Roman"/>
          <w:spacing w:val="-2"/>
        </w:rPr>
        <w:t>của họ</w:t>
      </w:r>
      <w:r w:rsidR="00980248" w:rsidRPr="009146D0">
        <w:rPr>
          <w:rFonts w:ascii="Cambria Math" w:hAnsi="Cambria Math" w:cs="Cambria Math"/>
          <w:spacing w:val="-2"/>
        </w:rPr>
        <w:t>̂</w:t>
      </w:r>
      <w:r w:rsidR="00980248" w:rsidRPr="009146D0">
        <w:rPr>
          <w:rFonts w:ascii="Times New Roman" w:hAnsi="Times New Roman" w:cs="Times New Roman"/>
          <w:spacing w:val="-2"/>
        </w:rPr>
        <w:t xml:space="preserve"> ông A.</w:t>
      </w:r>
      <w:r w:rsidR="00717F0F" w:rsidRPr="009146D0">
        <w:rPr>
          <w:rFonts w:ascii="Times New Roman" w:hAnsi="Times New Roman" w:cs="Times New Roman"/>
          <w:spacing w:val="-2"/>
        </w:rPr>
        <w:t xml:space="preserve"> Các thay đổi</w:t>
      </w:r>
      <w:r w:rsidR="00B34874" w:rsidRPr="009146D0">
        <w:rPr>
          <w:rFonts w:ascii="Times New Roman" w:hAnsi="Times New Roman" w:cs="Times New Roman"/>
          <w:spacing w:val="-2"/>
        </w:rPr>
        <w:t xml:space="preserve">, </w:t>
      </w:r>
      <w:r w:rsidR="00B34874" w:rsidRPr="009146D0">
        <w:rPr>
          <w:rFonts w:ascii="Times New Roman" w:hAnsi="Times New Roman" w:cs="Times New Roman"/>
          <w:spacing w:val="-6"/>
        </w:rPr>
        <w:t>rút kháng cáo</w:t>
      </w:r>
      <w:r w:rsidR="00717F0F" w:rsidRPr="009146D0">
        <w:rPr>
          <w:rFonts w:ascii="Times New Roman" w:hAnsi="Times New Roman" w:cs="Times New Roman"/>
          <w:spacing w:val="-6"/>
        </w:rPr>
        <w:t xml:space="preserve"> này đều được </w:t>
      </w:r>
      <w:r w:rsidR="005040BE" w:rsidRPr="009146D0">
        <w:rPr>
          <w:rFonts w:ascii="Times New Roman" w:hAnsi="Times New Roman" w:cs="Times New Roman"/>
          <w:spacing w:val="-6"/>
        </w:rPr>
        <w:t>t</w:t>
      </w:r>
      <w:r w:rsidR="008540FE" w:rsidRPr="009146D0">
        <w:rPr>
          <w:rFonts w:ascii="Times New Roman" w:hAnsi="Times New Roman" w:cs="Times New Roman"/>
          <w:spacing w:val="-6"/>
        </w:rPr>
        <w:t>oà</w:t>
      </w:r>
      <w:r w:rsidR="00717F0F" w:rsidRPr="009146D0">
        <w:rPr>
          <w:rFonts w:ascii="Times New Roman" w:hAnsi="Times New Roman" w:cs="Times New Roman"/>
          <w:spacing w:val="-6"/>
        </w:rPr>
        <w:t xml:space="preserve"> án chấp nhận</w:t>
      </w:r>
      <w:r w:rsidR="00717F0F" w:rsidRPr="009146D0">
        <w:rPr>
          <w:rStyle w:val="FootnoteReference"/>
          <w:rFonts w:ascii="Times New Roman" w:hAnsi="Times New Roman" w:cs="Times New Roman"/>
          <w:spacing w:val="-6"/>
          <w:lang w:val="nl-NL"/>
        </w:rPr>
        <w:footnoteReference w:id="14"/>
      </w:r>
      <w:r w:rsidR="00717F0F" w:rsidRPr="009146D0">
        <w:rPr>
          <w:rFonts w:ascii="Times New Roman" w:hAnsi="Times New Roman" w:cs="Times New Roman"/>
          <w:spacing w:val="-6"/>
        </w:rPr>
        <w:t>.</w:t>
      </w:r>
      <w:r w:rsidR="00980248" w:rsidRPr="009146D0">
        <w:rPr>
          <w:rFonts w:ascii="Times New Roman" w:hAnsi="Times New Roman" w:cs="Times New Roman"/>
          <w:spacing w:val="-2"/>
        </w:rPr>
        <w:t xml:space="preserve"> </w:t>
      </w:r>
      <w:r w:rsidR="00980248" w:rsidRPr="009146D0">
        <w:rPr>
          <w:rFonts w:ascii="Times New Roman" w:hAnsi="Times New Roman" w:cs="Times New Roman"/>
          <w:spacing w:val="-6"/>
        </w:rPr>
        <w:t xml:space="preserve">Như vậy, trong </w:t>
      </w:r>
      <w:r w:rsidR="00717F0F" w:rsidRPr="009146D0">
        <w:rPr>
          <w:rFonts w:ascii="Times New Roman" w:hAnsi="Times New Roman" w:cs="Times New Roman"/>
          <w:spacing w:val="-6"/>
        </w:rPr>
        <w:t>vụ án này, ông A</w:t>
      </w:r>
      <w:r w:rsidR="001D1F38" w:rsidRPr="009146D0">
        <w:rPr>
          <w:rFonts w:ascii="Times New Roman" w:hAnsi="Times New Roman" w:cs="Times New Roman"/>
          <w:spacing w:val="-6"/>
        </w:rPr>
        <w:t xml:space="preserve"> -</w:t>
      </w:r>
      <w:r w:rsidR="00717F0F" w:rsidRPr="009146D0">
        <w:rPr>
          <w:rFonts w:ascii="Times New Roman" w:hAnsi="Times New Roman" w:cs="Times New Roman"/>
          <w:spacing w:val="-6"/>
        </w:rPr>
        <w:t xml:space="preserve"> người kháng</w:t>
      </w:r>
      <w:r w:rsidR="00717F0F" w:rsidRPr="009146D0">
        <w:rPr>
          <w:rFonts w:ascii="Times New Roman" w:hAnsi="Times New Roman" w:cs="Times New Roman"/>
          <w:spacing w:val="-2"/>
        </w:rPr>
        <w:t xml:space="preserve"> cáo đã có động thái thay đổi yêu cầu kháng cáo theo hướng giả</w:t>
      </w:r>
      <w:r w:rsidR="00ED0622" w:rsidRPr="009146D0">
        <w:rPr>
          <w:rFonts w:ascii="Times New Roman" w:hAnsi="Times New Roman" w:cs="Times New Roman"/>
          <w:spacing w:val="-2"/>
        </w:rPr>
        <w:t xml:space="preserve">m đi. Ban </w:t>
      </w:r>
      <w:r w:rsidR="00717F0F" w:rsidRPr="009146D0">
        <w:rPr>
          <w:rFonts w:ascii="Times New Roman" w:hAnsi="Times New Roman" w:cs="Times New Roman"/>
          <w:spacing w:val="-2"/>
        </w:rPr>
        <w:t>đầu ông kháng cáo “sửa toàn bộ bản án sơ thẩm và chấp nhận hai yêu cầu khởi kiện của ông” nhưng sau đó, ông A lại thay đổi yêu cầu kháng cáo sửa bản án sơ thẩm chấp nhận một yêu cầu khởi kiện của ông và rút yêu cầu còn lại</w:t>
      </w:r>
      <w:r w:rsidR="00717F0F" w:rsidRPr="009146D0">
        <w:rPr>
          <w:rFonts w:ascii="Times New Roman" w:hAnsi="Times New Roman" w:cs="Times New Roman"/>
        </w:rPr>
        <w:t xml:space="preserve">. </w:t>
      </w:r>
    </w:p>
    <w:p w:rsidR="00E1309B" w:rsidRPr="009146D0" w:rsidRDefault="00E1309B" w:rsidP="009146D0">
      <w:pPr>
        <w:widowControl w:val="0"/>
        <w:spacing w:line="276" w:lineRule="auto"/>
        <w:ind w:firstLine="369"/>
        <w:jc w:val="both"/>
        <w:rPr>
          <w:rFonts w:ascii="Times New Roman" w:hAnsi="Times New Roman" w:cs="Times New Roman"/>
        </w:rPr>
      </w:pPr>
      <w:r w:rsidRPr="009146D0">
        <w:rPr>
          <w:rFonts w:ascii="Times New Roman" w:hAnsi="Times New Roman" w:cs="Times New Roman"/>
          <w:i/>
        </w:rPr>
        <w:t xml:space="preserve">Thứ hai, </w:t>
      </w:r>
      <w:r w:rsidRPr="009146D0">
        <w:rPr>
          <w:rFonts w:ascii="Times New Roman" w:hAnsi="Times New Roman" w:cs="Times New Roman"/>
        </w:rPr>
        <w:t xml:space="preserve">Luật TTHC quy định về </w:t>
      </w:r>
      <w:r w:rsidR="00543670" w:rsidRPr="009146D0">
        <w:rPr>
          <w:rFonts w:ascii="Times New Roman" w:hAnsi="Times New Roman" w:cs="Times New Roman"/>
        </w:rPr>
        <w:t>thời</w:t>
      </w:r>
      <w:r w:rsidR="00543670" w:rsidRPr="009146D0">
        <w:rPr>
          <w:rFonts w:ascii="Times New Roman" w:hAnsi="Times New Roman" w:cs="Times New Roman"/>
          <w:i/>
        </w:rPr>
        <w:t xml:space="preserve"> </w:t>
      </w:r>
      <w:r w:rsidR="00543670" w:rsidRPr="009146D0">
        <w:rPr>
          <w:rFonts w:ascii="Times New Roman" w:hAnsi="Times New Roman" w:cs="Times New Roman"/>
        </w:rPr>
        <w:t xml:space="preserve">điểm xác định </w:t>
      </w:r>
      <w:r w:rsidR="00386D38" w:rsidRPr="009146D0">
        <w:rPr>
          <w:rFonts w:ascii="Times New Roman" w:hAnsi="Times New Roman" w:cs="Times New Roman"/>
        </w:rPr>
        <w:t>thẩm quyền</w:t>
      </w:r>
      <w:r w:rsidR="00162A95" w:rsidRPr="009146D0">
        <w:rPr>
          <w:rFonts w:ascii="Times New Roman" w:hAnsi="Times New Roman" w:cs="Times New Roman"/>
        </w:rPr>
        <w:t xml:space="preserve"> đình chỉ xét xử phúc thẩm khi</w:t>
      </w:r>
      <w:r w:rsidRPr="009146D0">
        <w:rPr>
          <w:rFonts w:ascii="Times New Roman" w:hAnsi="Times New Roman" w:cs="Times New Roman"/>
        </w:rPr>
        <w:t xml:space="preserve"> người kháng cáo rút kháng cáo còn </w:t>
      </w:r>
      <w:r w:rsidR="009063A5" w:rsidRPr="009146D0">
        <w:rPr>
          <w:rFonts w:ascii="Times New Roman" w:hAnsi="Times New Roman" w:cs="Times New Roman"/>
        </w:rPr>
        <w:t>chưa rõ ràng</w:t>
      </w:r>
      <w:r w:rsidR="00B12158" w:rsidRPr="009146D0">
        <w:rPr>
          <w:rFonts w:ascii="Times New Roman" w:hAnsi="Times New Roman" w:cs="Times New Roman"/>
        </w:rPr>
        <w:t>.</w:t>
      </w:r>
    </w:p>
    <w:p w:rsidR="005D2A00" w:rsidRPr="009146D0" w:rsidRDefault="005D2A00" w:rsidP="009146D0">
      <w:pPr>
        <w:widowControl w:val="0"/>
        <w:spacing w:line="276" w:lineRule="auto"/>
        <w:ind w:firstLine="369"/>
        <w:jc w:val="both"/>
        <w:rPr>
          <w:rFonts w:ascii="Times New Roman" w:hAnsi="Times New Roman" w:cs="Times New Roman"/>
        </w:rPr>
      </w:pPr>
      <w:r w:rsidRPr="009146D0">
        <w:rPr>
          <w:rFonts w:ascii="Times New Roman" w:hAnsi="Times New Roman" w:cs="Times New Roman"/>
        </w:rPr>
        <w:t xml:space="preserve">Việc xác định chính xác, cụ thể chủ thể có thẩm quyền đình chỉ xét xử phúc thẩm khi </w:t>
      </w:r>
      <w:r w:rsidRPr="009146D0">
        <w:rPr>
          <w:rFonts w:ascii="Times New Roman" w:hAnsi="Times New Roman" w:cs="Times New Roman"/>
        </w:rPr>
        <w:lastRenderedPageBreak/>
        <w:t>người kháng cáo rút kháng cáo có ý nghĩa rất quan trọng, xác định rõ trách nhiệm, nghĩa vụ của các chủ thể đó, bảo đảm việc xử l</w:t>
      </w:r>
      <w:r w:rsidR="00511A95" w:rsidRPr="009146D0">
        <w:rPr>
          <w:rFonts w:ascii="Times New Roman" w:hAnsi="Times New Roman" w:cs="Times New Roman"/>
        </w:rPr>
        <w:t>í</w:t>
      </w:r>
      <w:r w:rsidRPr="009146D0">
        <w:rPr>
          <w:rFonts w:ascii="Times New Roman" w:hAnsi="Times New Roman" w:cs="Times New Roman"/>
        </w:rPr>
        <w:t xml:space="preserve"> hậu quả của việc rút kháng cáo được nhanh chóng, khẩn trương và đồng bộ. Tuy nhiên, </w:t>
      </w:r>
      <w:r w:rsidRPr="009146D0">
        <w:rPr>
          <w:rFonts w:ascii="Times New Roman" w:hAnsi="Times New Roman" w:cs="Times New Roman"/>
          <w:spacing w:val="-2"/>
        </w:rPr>
        <w:t>các quy định của Luật TTHC về thời điểm xác định thẩm quyền đình chỉ xét xử phúc thẩm trong trường hợp người kháng cáo rút kháng cáo còn có điểm chưa rõ ràng như sau:</w:t>
      </w:r>
    </w:p>
    <w:p w:rsidR="009F0CC8" w:rsidRPr="009146D0" w:rsidRDefault="009F0CC8"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t xml:space="preserve">Khoản 3 Điều 218 Luật TTHC quy định </w:t>
      </w:r>
      <w:r w:rsidRPr="009146D0">
        <w:rPr>
          <w:rFonts w:ascii="Times New Roman" w:hAnsi="Times New Roman" w:cs="Times New Roman"/>
          <w:i/>
        </w:rPr>
        <w:t xml:space="preserve">“việc đình chỉ xét xử phúc thẩm trước khi mở phiên </w:t>
      </w:r>
      <w:r w:rsidR="008540FE" w:rsidRPr="009146D0">
        <w:rPr>
          <w:rFonts w:ascii="Times New Roman" w:hAnsi="Times New Roman" w:cs="Times New Roman"/>
          <w:i/>
        </w:rPr>
        <w:t>toà</w:t>
      </w:r>
      <w:r w:rsidR="00220F43" w:rsidRPr="009146D0">
        <w:rPr>
          <w:rFonts w:ascii="Times New Roman" w:hAnsi="Times New Roman" w:cs="Times New Roman"/>
          <w:i/>
        </w:rPr>
        <w:t xml:space="preserve"> do t</w:t>
      </w:r>
      <w:r w:rsidRPr="009146D0">
        <w:rPr>
          <w:rFonts w:ascii="Times New Roman" w:hAnsi="Times New Roman" w:cs="Times New Roman"/>
          <w:i/>
        </w:rPr>
        <w:t xml:space="preserve">hẩm phán chủ tọa phiên </w:t>
      </w:r>
      <w:r w:rsidR="008540FE" w:rsidRPr="009146D0">
        <w:rPr>
          <w:rFonts w:ascii="Times New Roman" w:hAnsi="Times New Roman" w:cs="Times New Roman"/>
          <w:i/>
        </w:rPr>
        <w:t>toà</w:t>
      </w:r>
      <w:r w:rsidRPr="009146D0">
        <w:rPr>
          <w:rFonts w:ascii="Times New Roman" w:hAnsi="Times New Roman" w:cs="Times New Roman"/>
          <w:i/>
        </w:rPr>
        <w:t xml:space="preserve"> quyết định, tại phiên </w:t>
      </w:r>
      <w:r w:rsidR="008540FE" w:rsidRPr="009146D0">
        <w:rPr>
          <w:rFonts w:ascii="Times New Roman" w:hAnsi="Times New Roman" w:cs="Times New Roman"/>
          <w:i/>
        </w:rPr>
        <w:t>toà</w:t>
      </w:r>
      <w:r w:rsidR="00B41664" w:rsidRPr="009146D0">
        <w:rPr>
          <w:rFonts w:ascii="Times New Roman" w:hAnsi="Times New Roman" w:cs="Times New Roman"/>
          <w:i/>
        </w:rPr>
        <w:t xml:space="preserve"> do h</w:t>
      </w:r>
      <w:r w:rsidRPr="009146D0">
        <w:rPr>
          <w:rFonts w:ascii="Times New Roman" w:hAnsi="Times New Roman" w:cs="Times New Roman"/>
          <w:i/>
        </w:rPr>
        <w:t>ội đồng xét xử quyết định”</w:t>
      </w:r>
      <w:r w:rsidRPr="009146D0">
        <w:rPr>
          <w:rFonts w:ascii="Times New Roman" w:hAnsi="Times New Roman" w:cs="Times New Roman"/>
        </w:rPr>
        <w:t xml:space="preserve">. Theo đó, </w:t>
      </w:r>
      <w:r w:rsidR="00CB6464" w:rsidRPr="009146D0">
        <w:rPr>
          <w:rFonts w:ascii="Times New Roman" w:hAnsi="Times New Roman" w:cs="Times New Roman"/>
        </w:rPr>
        <w:t>“</w:t>
      </w:r>
      <w:r w:rsidRPr="009146D0">
        <w:rPr>
          <w:rFonts w:ascii="Times New Roman" w:hAnsi="Times New Roman" w:cs="Times New Roman"/>
        </w:rPr>
        <w:t xml:space="preserve">nếu người kháng </w:t>
      </w:r>
      <w:r w:rsidRPr="009146D0">
        <w:rPr>
          <w:rFonts w:ascii="Times New Roman" w:hAnsi="Times New Roman" w:cs="Times New Roman"/>
          <w:spacing w:val="-2"/>
        </w:rPr>
        <w:t>cáo rút kháng cáo</w:t>
      </w:r>
      <w:r w:rsidR="00A443FD" w:rsidRPr="009146D0">
        <w:rPr>
          <w:rFonts w:ascii="Times New Roman" w:hAnsi="Times New Roman" w:cs="Times New Roman"/>
          <w:spacing w:val="-2"/>
        </w:rPr>
        <w:t xml:space="preserve"> (bao gồm rút một phần hoặc rút toàn bộ kháng cáo)</w:t>
      </w:r>
      <w:r w:rsidR="00C07AB9" w:rsidRPr="009146D0">
        <w:rPr>
          <w:rFonts w:ascii="Times New Roman" w:hAnsi="Times New Roman" w:cs="Times New Roman"/>
          <w:spacing w:val="-2"/>
        </w:rPr>
        <w:t xml:space="preserve"> ở thời điểm</w:t>
      </w:r>
      <w:r w:rsidRPr="009146D0">
        <w:rPr>
          <w:rFonts w:ascii="Times New Roman" w:hAnsi="Times New Roman" w:cs="Times New Roman"/>
          <w:spacing w:val="-2"/>
        </w:rPr>
        <w:t xml:space="preserve"> trước khi </w:t>
      </w:r>
      <w:r w:rsidR="00C07AB9" w:rsidRPr="009146D0">
        <w:rPr>
          <w:rFonts w:ascii="Times New Roman" w:hAnsi="Times New Roman" w:cs="Times New Roman"/>
          <w:spacing w:val="-2"/>
        </w:rPr>
        <w:t xml:space="preserve">mở phiên </w:t>
      </w:r>
      <w:r w:rsidR="008540FE" w:rsidRPr="009146D0">
        <w:rPr>
          <w:rFonts w:ascii="Times New Roman" w:hAnsi="Times New Roman" w:cs="Times New Roman"/>
          <w:spacing w:val="-2"/>
        </w:rPr>
        <w:t>toà</w:t>
      </w:r>
      <w:r w:rsidR="00C07AB9" w:rsidRPr="009146D0">
        <w:rPr>
          <w:rFonts w:ascii="Times New Roman" w:hAnsi="Times New Roman" w:cs="Times New Roman"/>
          <w:spacing w:val="-2"/>
        </w:rPr>
        <w:t xml:space="preserve"> phúc thẩ</w:t>
      </w:r>
      <w:r w:rsidR="007854DD" w:rsidRPr="009146D0">
        <w:rPr>
          <w:rFonts w:ascii="Times New Roman" w:hAnsi="Times New Roman" w:cs="Times New Roman"/>
          <w:spacing w:val="-2"/>
        </w:rPr>
        <w:t>m thì t</w:t>
      </w:r>
      <w:r w:rsidR="00C07AB9" w:rsidRPr="009146D0">
        <w:rPr>
          <w:rFonts w:ascii="Times New Roman" w:hAnsi="Times New Roman" w:cs="Times New Roman"/>
          <w:spacing w:val="-2"/>
        </w:rPr>
        <w:t xml:space="preserve">hẩm phán chủ tọa phiên </w:t>
      </w:r>
      <w:r w:rsidR="008540FE" w:rsidRPr="009146D0">
        <w:rPr>
          <w:rFonts w:ascii="Times New Roman" w:hAnsi="Times New Roman" w:cs="Times New Roman"/>
          <w:spacing w:val="-2"/>
        </w:rPr>
        <w:t>toà</w:t>
      </w:r>
      <w:r w:rsidR="00C07AB9" w:rsidRPr="009146D0">
        <w:rPr>
          <w:rFonts w:ascii="Times New Roman" w:hAnsi="Times New Roman" w:cs="Times New Roman"/>
          <w:spacing w:val="-2"/>
        </w:rPr>
        <w:t xml:space="preserve"> quyết định đình chỉ xét xử phúc thẩm. Nếu người kháng cáo rút kháng cáo được thực hiện ở thời điểm tại phiên </w:t>
      </w:r>
      <w:r w:rsidR="008540FE" w:rsidRPr="009146D0">
        <w:rPr>
          <w:rFonts w:ascii="Times New Roman" w:hAnsi="Times New Roman" w:cs="Times New Roman"/>
          <w:spacing w:val="-2"/>
        </w:rPr>
        <w:t>toà</w:t>
      </w:r>
      <w:r w:rsidR="00C07AB9" w:rsidRPr="009146D0">
        <w:rPr>
          <w:rFonts w:ascii="Times New Roman" w:hAnsi="Times New Roman" w:cs="Times New Roman"/>
          <w:spacing w:val="-2"/>
        </w:rPr>
        <w:t xml:space="preserve"> phúc thẩm thì thẩm quyền đình chỉ sẽ thuộc về</w:t>
      </w:r>
      <w:r w:rsidR="007854DD" w:rsidRPr="009146D0">
        <w:rPr>
          <w:rFonts w:ascii="Times New Roman" w:hAnsi="Times New Roman" w:cs="Times New Roman"/>
          <w:spacing w:val="-2"/>
        </w:rPr>
        <w:t xml:space="preserve"> h</w:t>
      </w:r>
      <w:r w:rsidR="00C07AB9" w:rsidRPr="009146D0">
        <w:rPr>
          <w:rFonts w:ascii="Times New Roman" w:hAnsi="Times New Roman" w:cs="Times New Roman"/>
          <w:spacing w:val="-2"/>
        </w:rPr>
        <w:t>ội đồng xét xử phúc thẩm. Như vậy, thời điểm để phân định thẩm quyền giữa hai chủ thể</w:t>
      </w:r>
      <w:r w:rsidR="007854DD" w:rsidRPr="009146D0">
        <w:rPr>
          <w:rFonts w:ascii="Times New Roman" w:hAnsi="Times New Roman" w:cs="Times New Roman"/>
          <w:spacing w:val="-2"/>
        </w:rPr>
        <w:t xml:space="preserve"> là t</w:t>
      </w:r>
      <w:r w:rsidR="00C07AB9" w:rsidRPr="009146D0">
        <w:rPr>
          <w:rFonts w:ascii="Times New Roman" w:hAnsi="Times New Roman" w:cs="Times New Roman"/>
          <w:spacing w:val="-2"/>
        </w:rPr>
        <w:t xml:space="preserve">hẩm phán chủ tọa phiên </w:t>
      </w:r>
      <w:r w:rsidR="008540FE" w:rsidRPr="009146D0">
        <w:rPr>
          <w:rFonts w:ascii="Times New Roman" w:hAnsi="Times New Roman" w:cs="Times New Roman"/>
          <w:spacing w:val="-2"/>
        </w:rPr>
        <w:t>toà</w:t>
      </w:r>
      <w:r w:rsidR="007854DD" w:rsidRPr="009146D0">
        <w:rPr>
          <w:rFonts w:ascii="Times New Roman" w:hAnsi="Times New Roman" w:cs="Times New Roman"/>
          <w:spacing w:val="-2"/>
        </w:rPr>
        <w:t xml:space="preserve"> và h</w:t>
      </w:r>
      <w:r w:rsidR="00C07AB9" w:rsidRPr="009146D0">
        <w:rPr>
          <w:rFonts w:ascii="Times New Roman" w:hAnsi="Times New Roman" w:cs="Times New Roman"/>
          <w:spacing w:val="-2"/>
        </w:rPr>
        <w:t xml:space="preserve">ội đồng xét xử phúc thẩm là “trước khi mở phiên </w:t>
      </w:r>
      <w:r w:rsidR="008540FE" w:rsidRPr="009146D0">
        <w:rPr>
          <w:rFonts w:ascii="Times New Roman" w:hAnsi="Times New Roman" w:cs="Times New Roman"/>
          <w:spacing w:val="-2"/>
        </w:rPr>
        <w:t>toà</w:t>
      </w:r>
      <w:r w:rsidR="00C07AB9" w:rsidRPr="009146D0">
        <w:rPr>
          <w:rFonts w:ascii="Times New Roman" w:hAnsi="Times New Roman" w:cs="Times New Roman"/>
          <w:spacing w:val="-2"/>
        </w:rPr>
        <w:t xml:space="preserve">” và “tại phiên </w:t>
      </w:r>
      <w:r w:rsidR="008540FE" w:rsidRPr="009146D0">
        <w:rPr>
          <w:rFonts w:ascii="Times New Roman" w:hAnsi="Times New Roman" w:cs="Times New Roman"/>
          <w:spacing w:val="-2"/>
        </w:rPr>
        <w:t>toà</w:t>
      </w:r>
      <w:r w:rsidR="00C07AB9" w:rsidRPr="009146D0">
        <w:rPr>
          <w:rFonts w:ascii="Times New Roman" w:hAnsi="Times New Roman" w:cs="Times New Roman"/>
          <w:spacing w:val="-2"/>
        </w:rPr>
        <w:t>”</w:t>
      </w:r>
      <w:r w:rsidR="00151EEB" w:rsidRPr="009146D0">
        <w:rPr>
          <w:rFonts w:ascii="Times New Roman" w:hAnsi="Times New Roman" w:cs="Times New Roman"/>
          <w:spacing w:val="-2"/>
        </w:rPr>
        <w:t xml:space="preserve">. </w:t>
      </w:r>
      <w:r w:rsidR="006C3C8D" w:rsidRPr="009146D0">
        <w:rPr>
          <w:rFonts w:ascii="Times New Roman" w:hAnsi="Times New Roman" w:cs="Times New Roman"/>
          <w:spacing w:val="-2"/>
        </w:rPr>
        <w:t xml:space="preserve">“Trước khi mở phiên </w:t>
      </w:r>
      <w:r w:rsidR="008540FE" w:rsidRPr="009146D0">
        <w:rPr>
          <w:rFonts w:ascii="Times New Roman" w:hAnsi="Times New Roman" w:cs="Times New Roman"/>
          <w:spacing w:val="-2"/>
        </w:rPr>
        <w:t>toà</w:t>
      </w:r>
      <w:r w:rsidR="006C3C8D" w:rsidRPr="009146D0">
        <w:rPr>
          <w:rFonts w:ascii="Times New Roman" w:hAnsi="Times New Roman" w:cs="Times New Roman"/>
          <w:spacing w:val="-2"/>
        </w:rPr>
        <w:t xml:space="preserve">” được hiểu là từ khi </w:t>
      </w:r>
      <w:r w:rsidR="006457D5" w:rsidRPr="009146D0">
        <w:rPr>
          <w:rFonts w:ascii="Times New Roman" w:hAnsi="Times New Roman" w:cs="Times New Roman"/>
          <w:spacing w:val="-2"/>
        </w:rPr>
        <w:t>t</w:t>
      </w:r>
      <w:r w:rsidR="008540FE" w:rsidRPr="009146D0">
        <w:rPr>
          <w:rFonts w:ascii="Times New Roman" w:hAnsi="Times New Roman" w:cs="Times New Roman"/>
          <w:spacing w:val="-2"/>
        </w:rPr>
        <w:t>oà</w:t>
      </w:r>
      <w:r w:rsidR="006C3C8D" w:rsidRPr="009146D0">
        <w:rPr>
          <w:rFonts w:ascii="Times New Roman" w:hAnsi="Times New Roman" w:cs="Times New Roman"/>
          <w:spacing w:val="-2"/>
        </w:rPr>
        <w:t xml:space="preserve"> án cấp phúc thẩm ra thông báo thụ</w:t>
      </w:r>
      <w:r w:rsidR="006457D5" w:rsidRPr="009146D0">
        <w:rPr>
          <w:rFonts w:ascii="Times New Roman" w:hAnsi="Times New Roman" w:cs="Times New Roman"/>
          <w:spacing w:val="-2"/>
        </w:rPr>
        <w:t xml:space="preserve"> lí</w:t>
      </w:r>
      <w:r w:rsidR="006C3C8D" w:rsidRPr="009146D0">
        <w:rPr>
          <w:rFonts w:ascii="Times New Roman" w:hAnsi="Times New Roman" w:cs="Times New Roman"/>
          <w:spacing w:val="-2"/>
        </w:rPr>
        <w:t xml:space="preserve"> phúc thẩm cho đến trước khi </w:t>
      </w:r>
      <w:r w:rsidR="006457D5" w:rsidRPr="009146D0">
        <w:rPr>
          <w:rFonts w:ascii="Times New Roman" w:hAnsi="Times New Roman" w:cs="Times New Roman"/>
          <w:spacing w:val="-2"/>
        </w:rPr>
        <w:t>t</w:t>
      </w:r>
      <w:r w:rsidR="008540FE" w:rsidRPr="009146D0">
        <w:rPr>
          <w:rFonts w:ascii="Times New Roman" w:hAnsi="Times New Roman" w:cs="Times New Roman"/>
          <w:spacing w:val="-2"/>
        </w:rPr>
        <w:t>oà</w:t>
      </w:r>
      <w:r w:rsidR="006C3C8D" w:rsidRPr="009146D0">
        <w:rPr>
          <w:rFonts w:ascii="Times New Roman" w:hAnsi="Times New Roman" w:cs="Times New Roman"/>
          <w:spacing w:val="-2"/>
        </w:rPr>
        <w:t xml:space="preserve"> phúc thẩm bắt đầu phiên </w:t>
      </w:r>
      <w:r w:rsidR="008540FE" w:rsidRPr="009146D0">
        <w:rPr>
          <w:rFonts w:ascii="Times New Roman" w:hAnsi="Times New Roman" w:cs="Times New Roman"/>
          <w:spacing w:val="-2"/>
        </w:rPr>
        <w:t>toà</w:t>
      </w:r>
      <w:r w:rsidR="006C3C8D" w:rsidRPr="009146D0">
        <w:rPr>
          <w:rFonts w:ascii="Times New Roman" w:hAnsi="Times New Roman" w:cs="Times New Roman"/>
        </w:rPr>
        <w:t>.</w:t>
      </w:r>
    </w:p>
    <w:p w:rsidR="00C47929" w:rsidRPr="009146D0" w:rsidRDefault="000A65C8"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spacing w:val="-4"/>
        </w:rPr>
        <w:t>Tuy nhiên</w:t>
      </w:r>
      <w:r w:rsidR="006C3C8D" w:rsidRPr="009146D0">
        <w:rPr>
          <w:rFonts w:ascii="Times New Roman" w:hAnsi="Times New Roman" w:cs="Times New Roman"/>
          <w:spacing w:val="-4"/>
        </w:rPr>
        <w:t>, khoản 2 Điều 229 Luật TTHC</w:t>
      </w:r>
      <w:r w:rsidR="006C3C8D" w:rsidRPr="009146D0">
        <w:rPr>
          <w:rFonts w:ascii="Times New Roman" w:hAnsi="Times New Roman" w:cs="Times New Roman"/>
        </w:rPr>
        <w:t xml:space="preserve"> quy định: </w:t>
      </w:r>
      <w:r w:rsidR="00CB6464" w:rsidRPr="009146D0">
        <w:rPr>
          <w:rFonts w:ascii="Times New Roman" w:hAnsi="Times New Roman" w:cs="Times New Roman"/>
          <w:i/>
        </w:rPr>
        <w:t>“</w:t>
      </w:r>
      <w:r w:rsidR="006C3C8D" w:rsidRPr="009146D0">
        <w:rPr>
          <w:rFonts w:ascii="Times New Roman" w:hAnsi="Times New Roman" w:cs="Times New Roman"/>
          <w:i/>
        </w:rPr>
        <w:t xml:space="preserve">nếu người kháng cáo rút </w:t>
      </w:r>
      <w:r w:rsidR="00A443FD" w:rsidRPr="009146D0">
        <w:rPr>
          <w:rFonts w:ascii="Times New Roman" w:hAnsi="Times New Roman" w:cs="Times New Roman"/>
          <w:i/>
        </w:rPr>
        <w:t xml:space="preserve">toàn bộ </w:t>
      </w:r>
      <w:r w:rsidR="006C3C8D" w:rsidRPr="009146D0">
        <w:rPr>
          <w:rFonts w:ascii="Times New Roman" w:hAnsi="Times New Roman" w:cs="Times New Roman"/>
          <w:i/>
        </w:rPr>
        <w:t xml:space="preserve">kháng cáo </w:t>
      </w:r>
      <w:r w:rsidR="00A443FD" w:rsidRPr="009146D0">
        <w:rPr>
          <w:rFonts w:ascii="Times New Roman" w:hAnsi="Times New Roman" w:cs="Times New Roman"/>
          <w:i/>
        </w:rPr>
        <w:t xml:space="preserve">trước khi </w:t>
      </w:r>
      <w:r w:rsidR="008540FE" w:rsidRPr="009146D0">
        <w:rPr>
          <w:rFonts w:ascii="Times New Roman" w:hAnsi="Times New Roman" w:cs="Times New Roman"/>
          <w:i/>
        </w:rPr>
        <w:t>Toà</w:t>
      </w:r>
      <w:r w:rsidR="00CB6464" w:rsidRPr="009146D0">
        <w:rPr>
          <w:rFonts w:ascii="Times New Roman" w:hAnsi="Times New Roman" w:cs="Times New Roman"/>
          <w:i/>
        </w:rPr>
        <w:t xml:space="preserve"> án cấp phúc thẩm ra quyết định đưa vụ án ra xét xử  thì Thẩm phán được phân công làm chủ tọa phiên </w:t>
      </w:r>
      <w:r w:rsidR="008540FE" w:rsidRPr="009146D0">
        <w:rPr>
          <w:rFonts w:ascii="Times New Roman" w:hAnsi="Times New Roman" w:cs="Times New Roman"/>
          <w:i/>
        </w:rPr>
        <w:t>toà</w:t>
      </w:r>
      <w:r w:rsidR="00CB6464" w:rsidRPr="009146D0">
        <w:rPr>
          <w:rFonts w:ascii="Times New Roman" w:hAnsi="Times New Roman" w:cs="Times New Roman"/>
          <w:i/>
        </w:rPr>
        <w:t xml:space="preserve"> ra quyết định đình chỉ xét xử phúc thẩm, trường hợp người kháng cáo rút toàn bộ kháng cáo sau khi </w:t>
      </w:r>
      <w:r w:rsidR="00564AE1" w:rsidRPr="009146D0">
        <w:rPr>
          <w:rFonts w:ascii="Times New Roman" w:hAnsi="Times New Roman" w:cs="Times New Roman"/>
          <w:i/>
        </w:rPr>
        <w:t>t</w:t>
      </w:r>
      <w:r w:rsidR="008540FE" w:rsidRPr="009146D0">
        <w:rPr>
          <w:rFonts w:ascii="Times New Roman" w:hAnsi="Times New Roman" w:cs="Times New Roman"/>
          <w:i/>
        </w:rPr>
        <w:t>oà</w:t>
      </w:r>
      <w:r w:rsidR="00CB6464" w:rsidRPr="009146D0">
        <w:rPr>
          <w:rFonts w:ascii="Times New Roman" w:hAnsi="Times New Roman" w:cs="Times New Roman"/>
          <w:i/>
        </w:rPr>
        <w:t xml:space="preserve"> án ra quyết định đưa vụ án ra xét xử phúc thẩ</w:t>
      </w:r>
      <w:r w:rsidR="0059772E" w:rsidRPr="009146D0">
        <w:rPr>
          <w:rFonts w:ascii="Times New Roman" w:hAnsi="Times New Roman" w:cs="Times New Roman"/>
          <w:i/>
        </w:rPr>
        <w:t>m thì h</w:t>
      </w:r>
      <w:r w:rsidR="00CB6464" w:rsidRPr="009146D0">
        <w:rPr>
          <w:rFonts w:ascii="Times New Roman" w:hAnsi="Times New Roman" w:cs="Times New Roman"/>
          <w:i/>
        </w:rPr>
        <w:t>ội đồng xét xử ra quyết định đình chỉ xét xử phúc thẩm”</w:t>
      </w:r>
      <w:r w:rsidR="00824BE5" w:rsidRPr="009146D0">
        <w:rPr>
          <w:rFonts w:ascii="Times New Roman" w:hAnsi="Times New Roman" w:cs="Times New Roman"/>
        </w:rPr>
        <w:t xml:space="preserve">. </w:t>
      </w:r>
      <w:r w:rsidR="00824BE5" w:rsidRPr="009146D0">
        <w:rPr>
          <w:rFonts w:ascii="Times New Roman" w:hAnsi="Times New Roman" w:cs="Times New Roman"/>
        </w:rPr>
        <w:lastRenderedPageBreak/>
        <w:t xml:space="preserve">Trong quy định này, thời điểm phân định </w:t>
      </w:r>
      <w:r w:rsidR="00824BE5" w:rsidRPr="009146D0">
        <w:rPr>
          <w:rFonts w:ascii="Times New Roman" w:hAnsi="Times New Roman" w:cs="Times New Roman"/>
          <w:spacing w:val="-2"/>
        </w:rPr>
        <w:t>thẩm quyền ra quyết định đình chỉ xét xử phúc thẩm giữ</w:t>
      </w:r>
      <w:r w:rsidR="00B41664" w:rsidRPr="009146D0">
        <w:rPr>
          <w:rFonts w:ascii="Times New Roman" w:hAnsi="Times New Roman" w:cs="Times New Roman"/>
          <w:spacing w:val="-2"/>
        </w:rPr>
        <w:t>a t</w:t>
      </w:r>
      <w:r w:rsidR="00824BE5" w:rsidRPr="009146D0">
        <w:rPr>
          <w:rFonts w:ascii="Times New Roman" w:hAnsi="Times New Roman" w:cs="Times New Roman"/>
          <w:spacing w:val="-2"/>
        </w:rPr>
        <w:t xml:space="preserve">hẩm phán chủ tọa phiên </w:t>
      </w:r>
      <w:r w:rsidR="008540FE" w:rsidRPr="009146D0">
        <w:rPr>
          <w:rFonts w:ascii="Times New Roman" w:hAnsi="Times New Roman" w:cs="Times New Roman"/>
          <w:spacing w:val="-2"/>
        </w:rPr>
        <w:t>toà</w:t>
      </w:r>
      <w:r w:rsidR="00824BE5" w:rsidRPr="009146D0">
        <w:rPr>
          <w:rFonts w:ascii="Times New Roman" w:hAnsi="Times New Roman" w:cs="Times New Roman"/>
          <w:spacing w:val="-2"/>
        </w:rPr>
        <w:t xml:space="preserve"> và </w:t>
      </w:r>
      <w:r w:rsidR="00495BCF" w:rsidRPr="009146D0">
        <w:rPr>
          <w:rFonts w:ascii="Times New Roman" w:hAnsi="Times New Roman" w:cs="Times New Roman"/>
          <w:spacing w:val="-2"/>
        </w:rPr>
        <w:t>HĐXX</w:t>
      </w:r>
      <w:r w:rsidR="00824BE5" w:rsidRPr="009146D0">
        <w:rPr>
          <w:rFonts w:ascii="Times New Roman" w:hAnsi="Times New Roman" w:cs="Times New Roman"/>
          <w:spacing w:val="-2"/>
        </w:rPr>
        <w:t xml:space="preserve"> phúc thẩm là thời điểm </w:t>
      </w:r>
      <w:r w:rsidR="00C47929" w:rsidRPr="009146D0">
        <w:rPr>
          <w:rFonts w:ascii="Times New Roman" w:hAnsi="Times New Roman" w:cs="Times New Roman"/>
          <w:spacing w:val="-2"/>
        </w:rPr>
        <w:t>“t</w:t>
      </w:r>
      <w:r w:rsidR="00824BE5" w:rsidRPr="009146D0">
        <w:rPr>
          <w:rFonts w:ascii="Times New Roman" w:hAnsi="Times New Roman" w:cs="Times New Roman"/>
          <w:spacing w:val="-2"/>
        </w:rPr>
        <w:t xml:space="preserve">rước khi ra quyết định đưa </w:t>
      </w:r>
      <w:r w:rsidR="00C47929" w:rsidRPr="009146D0">
        <w:rPr>
          <w:rFonts w:ascii="Times New Roman" w:hAnsi="Times New Roman" w:cs="Times New Roman"/>
          <w:spacing w:val="-2"/>
        </w:rPr>
        <w:t>vụ án ra xét xử phúc thẩm” và “sau khi đưa vụ án ra xét xử phúc thẩm”.</w:t>
      </w:r>
      <w:r w:rsidR="0059772E" w:rsidRPr="009146D0">
        <w:rPr>
          <w:rFonts w:ascii="Times New Roman" w:hAnsi="Times New Roman" w:cs="Times New Roman"/>
          <w:spacing w:val="-2"/>
        </w:rPr>
        <w:t xml:space="preserve"> </w:t>
      </w:r>
      <w:r w:rsidR="005039F2" w:rsidRPr="009146D0">
        <w:rPr>
          <w:rFonts w:ascii="Times New Roman" w:hAnsi="Times New Roman" w:cs="Times New Roman"/>
          <w:spacing w:val="-2"/>
        </w:rPr>
        <w:t xml:space="preserve">Mà theo quy định tại khoản 3 Điều 221 Luật TTHC </w:t>
      </w:r>
      <w:r w:rsidR="005039F2" w:rsidRPr="009146D0">
        <w:rPr>
          <w:rFonts w:ascii="Times New Roman" w:hAnsi="Times New Roman" w:cs="Times New Roman"/>
          <w:i/>
          <w:spacing w:val="-2"/>
        </w:rPr>
        <w:t xml:space="preserve">“trong thời hạn 30 ngày kể từ ngày có </w:t>
      </w:r>
      <w:r w:rsidR="005039F2" w:rsidRPr="009146D0">
        <w:rPr>
          <w:rFonts w:ascii="Times New Roman" w:hAnsi="Times New Roman" w:cs="Times New Roman"/>
          <w:i/>
        </w:rPr>
        <w:t xml:space="preserve">quyết định đưa vụ án ra xét xử, </w:t>
      </w:r>
      <w:r w:rsidR="00450361" w:rsidRPr="009146D0">
        <w:rPr>
          <w:rFonts w:ascii="Times New Roman" w:hAnsi="Times New Roman" w:cs="Times New Roman"/>
          <w:i/>
        </w:rPr>
        <w:t>t</w:t>
      </w:r>
      <w:r w:rsidR="008540FE" w:rsidRPr="009146D0">
        <w:rPr>
          <w:rFonts w:ascii="Times New Roman" w:hAnsi="Times New Roman" w:cs="Times New Roman"/>
          <w:i/>
        </w:rPr>
        <w:t>oà</w:t>
      </w:r>
      <w:r w:rsidR="005039F2" w:rsidRPr="009146D0">
        <w:rPr>
          <w:rFonts w:ascii="Times New Roman" w:hAnsi="Times New Roman" w:cs="Times New Roman"/>
          <w:i/>
        </w:rPr>
        <w:t xml:space="preserve"> án phải mở phiên </w:t>
      </w:r>
      <w:r w:rsidR="008540FE" w:rsidRPr="009146D0">
        <w:rPr>
          <w:rFonts w:ascii="Times New Roman" w:hAnsi="Times New Roman" w:cs="Times New Roman"/>
          <w:i/>
        </w:rPr>
        <w:t>toà</w:t>
      </w:r>
      <w:r w:rsidR="005039F2" w:rsidRPr="009146D0">
        <w:rPr>
          <w:rFonts w:ascii="Times New Roman" w:hAnsi="Times New Roman" w:cs="Times New Roman"/>
          <w:i/>
        </w:rPr>
        <w:t xml:space="preserve"> phúc thẩm, trừ trường hợp có lý do chính đáng thì thời hạn này là 60 ngày”</w:t>
      </w:r>
      <w:r w:rsidR="005039F2" w:rsidRPr="009146D0">
        <w:rPr>
          <w:rFonts w:ascii="Times New Roman" w:hAnsi="Times New Roman" w:cs="Times New Roman"/>
        </w:rPr>
        <w:t xml:space="preserve">. Như vậy, </w:t>
      </w:r>
      <w:r w:rsidR="00381AF8" w:rsidRPr="009146D0">
        <w:rPr>
          <w:rFonts w:ascii="Times New Roman" w:hAnsi="Times New Roman" w:cs="Times New Roman"/>
        </w:rPr>
        <w:t xml:space="preserve">ở </w:t>
      </w:r>
      <w:r w:rsidR="005039F2" w:rsidRPr="009146D0">
        <w:rPr>
          <w:rFonts w:ascii="Times New Roman" w:hAnsi="Times New Roman" w:cs="Times New Roman"/>
        </w:rPr>
        <w:t xml:space="preserve">thời điểm từ khi </w:t>
      </w:r>
      <w:r w:rsidR="002136D6" w:rsidRPr="009146D0">
        <w:rPr>
          <w:rFonts w:ascii="Times New Roman" w:hAnsi="Times New Roman" w:cs="Times New Roman"/>
        </w:rPr>
        <w:t>t</w:t>
      </w:r>
      <w:r w:rsidR="008540FE" w:rsidRPr="009146D0">
        <w:rPr>
          <w:rFonts w:ascii="Times New Roman" w:hAnsi="Times New Roman" w:cs="Times New Roman"/>
        </w:rPr>
        <w:t>oà</w:t>
      </w:r>
      <w:r w:rsidR="005039F2" w:rsidRPr="009146D0">
        <w:rPr>
          <w:rFonts w:ascii="Times New Roman" w:hAnsi="Times New Roman" w:cs="Times New Roman"/>
        </w:rPr>
        <w:t xml:space="preserve"> án cấp phúc thẩm ra quyết định đưa vụ án ra xét xử phúc thẩm cho đến trước khi mở phiên </w:t>
      </w:r>
      <w:r w:rsidR="008540FE" w:rsidRPr="009146D0">
        <w:rPr>
          <w:rFonts w:ascii="Times New Roman" w:hAnsi="Times New Roman" w:cs="Times New Roman"/>
        </w:rPr>
        <w:t>toà</w:t>
      </w:r>
      <w:r w:rsidR="005039F2" w:rsidRPr="009146D0">
        <w:rPr>
          <w:rFonts w:ascii="Times New Roman" w:hAnsi="Times New Roman" w:cs="Times New Roman"/>
        </w:rPr>
        <w:t xml:space="preserve"> phúc thẩ</w:t>
      </w:r>
      <w:r w:rsidR="00381AF8" w:rsidRPr="009146D0">
        <w:rPr>
          <w:rFonts w:ascii="Times New Roman" w:hAnsi="Times New Roman" w:cs="Times New Roman"/>
        </w:rPr>
        <w:t>m:</w:t>
      </w:r>
      <w:r w:rsidR="005039F2" w:rsidRPr="009146D0">
        <w:rPr>
          <w:rFonts w:ascii="Times New Roman" w:hAnsi="Times New Roman" w:cs="Times New Roman"/>
        </w:rPr>
        <w:t xml:space="preserve"> nếu người kháng cáo rút toàn bộ kháng cáo thì thẩm quyền đình chỉ xét xử phúc thẩm sẽ thuộc về </w:t>
      </w:r>
      <w:r w:rsidR="002136D6" w:rsidRPr="009146D0">
        <w:rPr>
          <w:rFonts w:ascii="Times New Roman" w:hAnsi="Times New Roman" w:cs="Times New Roman"/>
        </w:rPr>
        <w:t>t</w:t>
      </w:r>
      <w:r w:rsidR="005039F2" w:rsidRPr="009146D0">
        <w:rPr>
          <w:rFonts w:ascii="Times New Roman" w:hAnsi="Times New Roman" w:cs="Times New Roman"/>
        </w:rPr>
        <w:t xml:space="preserve">hẩm phán chủ tọa phiên </w:t>
      </w:r>
      <w:r w:rsidR="008540FE" w:rsidRPr="009146D0">
        <w:rPr>
          <w:rFonts w:ascii="Times New Roman" w:hAnsi="Times New Roman" w:cs="Times New Roman"/>
        </w:rPr>
        <w:t>toà</w:t>
      </w:r>
      <w:r w:rsidR="005039F2" w:rsidRPr="009146D0">
        <w:rPr>
          <w:rFonts w:ascii="Times New Roman" w:hAnsi="Times New Roman" w:cs="Times New Roman"/>
        </w:rPr>
        <w:t xml:space="preserve"> theo khoản 3 Điều 218 hay thuộc về </w:t>
      </w:r>
      <w:r w:rsidR="002136D6" w:rsidRPr="009146D0">
        <w:rPr>
          <w:rFonts w:ascii="Times New Roman" w:hAnsi="Times New Roman" w:cs="Times New Roman"/>
        </w:rPr>
        <w:t>HĐXX</w:t>
      </w:r>
      <w:r w:rsidR="005732F5" w:rsidRPr="009146D0">
        <w:rPr>
          <w:rFonts w:ascii="Times New Roman" w:hAnsi="Times New Roman" w:cs="Times New Roman"/>
        </w:rPr>
        <w:t xml:space="preserve"> </w:t>
      </w:r>
      <w:r w:rsidR="005039F2" w:rsidRPr="009146D0">
        <w:rPr>
          <w:rFonts w:ascii="Times New Roman" w:hAnsi="Times New Roman" w:cs="Times New Roman"/>
        </w:rPr>
        <w:t>phúc thẩm theo khoản 2 Điều 229 Luật TTHC</w:t>
      </w:r>
      <w:r w:rsidR="00B6215F" w:rsidRPr="009146D0">
        <w:rPr>
          <w:rFonts w:ascii="Times New Roman" w:hAnsi="Times New Roman" w:cs="Times New Roman"/>
        </w:rPr>
        <w:t xml:space="preserve">. </w:t>
      </w:r>
      <w:r w:rsidR="00263310" w:rsidRPr="009146D0">
        <w:rPr>
          <w:rFonts w:ascii="Times New Roman" w:hAnsi="Times New Roman" w:cs="Times New Roman"/>
        </w:rPr>
        <w:t>H</w:t>
      </w:r>
      <w:r w:rsidR="00B6215F" w:rsidRPr="009146D0">
        <w:rPr>
          <w:rFonts w:ascii="Times New Roman" w:hAnsi="Times New Roman" w:cs="Times New Roman"/>
        </w:rPr>
        <w:t xml:space="preserve">iện nay Luật TTHC chưa có quy định rõ ràng </w:t>
      </w:r>
      <w:r w:rsidR="00263310" w:rsidRPr="009146D0">
        <w:rPr>
          <w:rFonts w:ascii="Times New Roman" w:hAnsi="Times New Roman" w:cs="Times New Roman"/>
        </w:rPr>
        <w:t xml:space="preserve">về vấn đề này </w:t>
      </w:r>
      <w:r w:rsidR="00B6215F" w:rsidRPr="009146D0">
        <w:rPr>
          <w:rFonts w:ascii="Times New Roman" w:hAnsi="Times New Roman" w:cs="Times New Roman"/>
        </w:rPr>
        <w:t>và</w:t>
      </w:r>
      <w:r w:rsidR="004B555D" w:rsidRPr="009146D0">
        <w:rPr>
          <w:rFonts w:ascii="Times New Roman" w:hAnsi="Times New Roman" w:cs="Times New Roman"/>
        </w:rPr>
        <w:t xml:space="preserve"> về mặt </w:t>
      </w:r>
      <w:r w:rsidR="000B0037" w:rsidRPr="009146D0">
        <w:rPr>
          <w:rFonts w:ascii="Times New Roman" w:hAnsi="Times New Roman" w:cs="Times New Roman"/>
        </w:rPr>
        <w:t>lí</w:t>
      </w:r>
      <w:r w:rsidR="004B555D" w:rsidRPr="009146D0">
        <w:rPr>
          <w:rFonts w:ascii="Times New Roman" w:hAnsi="Times New Roman" w:cs="Times New Roman"/>
        </w:rPr>
        <w:t xml:space="preserve"> luận,</w:t>
      </w:r>
      <w:r w:rsidR="00B6215F" w:rsidRPr="009146D0">
        <w:rPr>
          <w:rFonts w:ascii="Times New Roman" w:hAnsi="Times New Roman" w:cs="Times New Roman"/>
        </w:rPr>
        <w:t xml:space="preserve"> </w:t>
      </w:r>
      <w:r w:rsidR="009E57A8" w:rsidRPr="009146D0">
        <w:rPr>
          <w:rFonts w:ascii="Times New Roman" w:hAnsi="Times New Roman" w:cs="Times New Roman"/>
        </w:rPr>
        <w:t xml:space="preserve">có </w:t>
      </w:r>
      <w:r w:rsidR="00666205" w:rsidRPr="009146D0">
        <w:rPr>
          <w:rFonts w:ascii="Times New Roman" w:hAnsi="Times New Roman" w:cs="Times New Roman"/>
        </w:rPr>
        <w:t xml:space="preserve">thể hiểu theo </w:t>
      </w:r>
      <w:r w:rsidR="009E57A8" w:rsidRPr="009146D0">
        <w:rPr>
          <w:rFonts w:ascii="Times New Roman" w:hAnsi="Times New Roman" w:cs="Times New Roman"/>
        </w:rPr>
        <w:t>hai cách như sau</w:t>
      </w:r>
      <w:r w:rsidR="00666205" w:rsidRPr="009146D0">
        <w:rPr>
          <w:rFonts w:ascii="Times New Roman" w:hAnsi="Times New Roman" w:cs="Times New Roman"/>
        </w:rPr>
        <w:t>:</w:t>
      </w:r>
    </w:p>
    <w:p w:rsidR="00381AF8" w:rsidRPr="009146D0" w:rsidRDefault="00381AF8" w:rsidP="00081D48">
      <w:pPr>
        <w:widowControl w:val="0"/>
        <w:spacing w:line="276" w:lineRule="auto"/>
        <w:ind w:firstLine="369"/>
        <w:jc w:val="both"/>
        <w:rPr>
          <w:rFonts w:ascii="Times New Roman" w:hAnsi="Times New Roman" w:cs="Times New Roman"/>
          <w:spacing w:val="-2"/>
        </w:rPr>
      </w:pPr>
      <w:r w:rsidRPr="009146D0">
        <w:rPr>
          <w:rFonts w:ascii="Times New Roman" w:hAnsi="Times New Roman" w:cs="Times New Roman"/>
          <w:spacing w:val="-2"/>
        </w:rPr>
        <w:t xml:space="preserve">Cách </w:t>
      </w:r>
      <w:r w:rsidR="009E57A8" w:rsidRPr="009146D0">
        <w:rPr>
          <w:rFonts w:ascii="Times New Roman" w:hAnsi="Times New Roman" w:cs="Times New Roman"/>
          <w:spacing w:val="-2"/>
        </w:rPr>
        <w:t xml:space="preserve">tiếp cận </w:t>
      </w:r>
      <w:r w:rsidRPr="009146D0">
        <w:rPr>
          <w:rFonts w:ascii="Times New Roman" w:hAnsi="Times New Roman" w:cs="Times New Roman"/>
          <w:spacing w:val="-2"/>
        </w:rPr>
        <w:t xml:space="preserve">thứ nhất: </w:t>
      </w:r>
      <w:r w:rsidR="00FF49FD" w:rsidRPr="009146D0">
        <w:rPr>
          <w:rFonts w:ascii="Times New Roman" w:hAnsi="Times New Roman" w:cs="Times New Roman"/>
          <w:spacing w:val="-2"/>
        </w:rPr>
        <w:t xml:space="preserve">cho đến </w:t>
      </w:r>
      <w:r w:rsidRPr="009146D0">
        <w:rPr>
          <w:rFonts w:ascii="Times New Roman" w:hAnsi="Times New Roman" w:cs="Times New Roman"/>
          <w:spacing w:val="-2"/>
        </w:rPr>
        <w:t xml:space="preserve">trước khi phiên </w:t>
      </w:r>
      <w:r w:rsidR="008540FE" w:rsidRPr="009146D0">
        <w:rPr>
          <w:rFonts w:ascii="Times New Roman" w:hAnsi="Times New Roman" w:cs="Times New Roman"/>
          <w:spacing w:val="-2"/>
        </w:rPr>
        <w:t>toà</w:t>
      </w:r>
      <w:r w:rsidRPr="009146D0">
        <w:rPr>
          <w:rFonts w:ascii="Times New Roman" w:hAnsi="Times New Roman" w:cs="Times New Roman"/>
          <w:spacing w:val="-2"/>
        </w:rPr>
        <w:t xml:space="preserve"> </w:t>
      </w:r>
      <w:r w:rsidR="00FF49FD" w:rsidRPr="009146D0">
        <w:rPr>
          <w:rFonts w:ascii="Times New Roman" w:hAnsi="Times New Roman" w:cs="Times New Roman"/>
          <w:spacing w:val="-2"/>
        </w:rPr>
        <w:t xml:space="preserve">phúc thẩm được mở thì thẩm quyền </w:t>
      </w:r>
      <w:r w:rsidR="00CA4B6D" w:rsidRPr="009146D0">
        <w:rPr>
          <w:rFonts w:ascii="Times New Roman" w:hAnsi="Times New Roman" w:cs="Times New Roman"/>
          <w:spacing w:val="-2"/>
        </w:rPr>
        <w:t xml:space="preserve">đình chỉ xét xử phúc thẩm </w:t>
      </w:r>
      <w:r w:rsidR="00586622" w:rsidRPr="009146D0">
        <w:rPr>
          <w:rFonts w:ascii="Times New Roman" w:hAnsi="Times New Roman" w:cs="Times New Roman"/>
          <w:spacing w:val="-2"/>
        </w:rPr>
        <w:t>nên</w:t>
      </w:r>
      <w:r w:rsidR="00CA4B6D" w:rsidRPr="009146D0">
        <w:rPr>
          <w:rFonts w:ascii="Times New Roman" w:hAnsi="Times New Roman" w:cs="Times New Roman"/>
          <w:spacing w:val="-2"/>
        </w:rPr>
        <w:t xml:space="preserve"> thuộc về</w:t>
      </w:r>
      <w:r w:rsidR="005732F5" w:rsidRPr="009146D0">
        <w:rPr>
          <w:rFonts w:ascii="Times New Roman" w:hAnsi="Times New Roman" w:cs="Times New Roman"/>
          <w:spacing w:val="-2"/>
        </w:rPr>
        <w:t xml:space="preserve"> t</w:t>
      </w:r>
      <w:r w:rsidR="00CA4B6D" w:rsidRPr="009146D0">
        <w:rPr>
          <w:rFonts w:ascii="Times New Roman" w:hAnsi="Times New Roman" w:cs="Times New Roman"/>
          <w:spacing w:val="-2"/>
        </w:rPr>
        <w:t xml:space="preserve">hẩm phán chủ tọa phiên </w:t>
      </w:r>
      <w:r w:rsidR="008540FE" w:rsidRPr="009146D0">
        <w:rPr>
          <w:rFonts w:ascii="Times New Roman" w:hAnsi="Times New Roman" w:cs="Times New Roman"/>
          <w:spacing w:val="-2"/>
        </w:rPr>
        <w:t>toà</w:t>
      </w:r>
      <w:r w:rsidR="00CA4B6D" w:rsidRPr="009146D0">
        <w:rPr>
          <w:rFonts w:ascii="Times New Roman" w:hAnsi="Times New Roman" w:cs="Times New Roman"/>
          <w:spacing w:val="-2"/>
        </w:rPr>
        <w:t>. Vì, trong giai đoạ</w:t>
      </w:r>
      <w:r w:rsidR="001F0A7A" w:rsidRPr="009146D0">
        <w:rPr>
          <w:rFonts w:ascii="Times New Roman" w:hAnsi="Times New Roman" w:cs="Times New Roman"/>
          <w:spacing w:val="-2"/>
        </w:rPr>
        <w:t>n này, t</w:t>
      </w:r>
      <w:r w:rsidR="00CA4B6D" w:rsidRPr="009146D0">
        <w:rPr>
          <w:rFonts w:ascii="Times New Roman" w:hAnsi="Times New Roman" w:cs="Times New Roman"/>
          <w:spacing w:val="-2"/>
        </w:rPr>
        <w:t xml:space="preserve">hẩm phán chủ tọa phiên </w:t>
      </w:r>
      <w:r w:rsidR="008540FE" w:rsidRPr="009146D0">
        <w:rPr>
          <w:rFonts w:ascii="Times New Roman" w:hAnsi="Times New Roman" w:cs="Times New Roman"/>
          <w:spacing w:val="-2"/>
        </w:rPr>
        <w:t>toà</w:t>
      </w:r>
      <w:r w:rsidR="00CA4B6D" w:rsidRPr="009146D0">
        <w:rPr>
          <w:rFonts w:ascii="Times New Roman" w:hAnsi="Times New Roman" w:cs="Times New Roman"/>
          <w:spacing w:val="-2"/>
        </w:rPr>
        <w:t xml:space="preserve"> là người </w:t>
      </w:r>
      <w:r w:rsidR="006F60D6" w:rsidRPr="009146D0">
        <w:rPr>
          <w:rFonts w:ascii="Times New Roman" w:hAnsi="Times New Roman" w:cs="Times New Roman"/>
          <w:spacing w:val="-2"/>
        </w:rPr>
        <w:t>trực tiếp</w:t>
      </w:r>
      <w:r w:rsidR="00CA4B6D" w:rsidRPr="009146D0">
        <w:rPr>
          <w:rFonts w:ascii="Times New Roman" w:hAnsi="Times New Roman" w:cs="Times New Roman"/>
          <w:spacing w:val="-2"/>
        </w:rPr>
        <w:t xml:space="preserve"> thực hiện các công việc mang tính chuẩn bị để phục vụ cho việc mở phiên </w:t>
      </w:r>
      <w:r w:rsidR="008540FE" w:rsidRPr="009146D0">
        <w:rPr>
          <w:rFonts w:ascii="Times New Roman" w:hAnsi="Times New Roman" w:cs="Times New Roman"/>
          <w:spacing w:val="-2"/>
        </w:rPr>
        <w:t>toà</w:t>
      </w:r>
      <w:r w:rsidR="003C3E00" w:rsidRPr="009146D0">
        <w:rPr>
          <w:rFonts w:ascii="Times New Roman" w:hAnsi="Times New Roman" w:cs="Times New Roman"/>
          <w:spacing w:val="-2"/>
        </w:rPr>
        <w:t xml:space="preserve"> nên t</w:t>
      </w:r>
      <w:r w:rsidR="00CA4B6D" w:rsidRPr="009146D0">
        <w:rPr>
          <w:rFonts w:ascii="Times New Roman" w:hAnsi="Times New Roman" w:cs="Times New Roman"/>
          <w:spacing w:val="-2"/>
        </w:rPr>
        <w:t>hẩm phán sẽ là người hiểu rõ nhất về nội dung vụ án cũng như tình hình chung của vụ án</w:t>
      </w:r>
      <w:r w:rsidR="003A00C7" w:rsidRPr="009146D0">
        <w:rPr>
          <w:rFonts w:ascii="Times New Roman" w:hAnsi="Times New Roman" w:cs="Times New Roman"/>
          <w:spacing w:val="-2"/>
        </w:rPr>
        <w:t xml:space="preserve">. </w:t>
      </w:r>
      <w:r w:rsidR="006F60D6" w:rsidRPr="009146D0">
        <w:rPr>
          <w:rFonts w:ascii="Times New Roman" w:hAnsi="Times New Roman" w:cs="Times New Roman"/>
          <w:spacing w:val="-2"/>
        </w:rPr>
        <w:t>Cho d</w:t>
      </w:r>
      <w:r w:rsidR="003A00C7" w:rsidRPr="009146D0">
        <w:rPr>
          <w:rFonts w:ascii="Times New Roman" w:hAnsi="Times New Roman" w:cs="Times New Roman"/>
          <w:spacing w:val="-2"/>
        </w:rPr>
        <w:t xml:space="preserve">ù đã có quyết định đưa vụ án ra xét xử phúc thẩm với thành phần </w:t>
      </w:r>
      <w:r w:rsidR="003C3E00" w:rsidRPr="009146D0">
        <w:rPr>
          <w:rFonts w:ascii="Times New Roman" w:hAnsi="Times New Roman" w:cs="Times New Roman"/>
          <w:spacing w:val="-2"/>
        </w:rPr>
        <w:t>HĐXX</w:t>
      </w:r>
      <w:r w:rsidR="003A00C7" w:rsidRPr="009146D0">
        <w:rPr>
          <w:rFonts w:ascii="Times New Roman" w:hAnsi="Times New Roman" w:cs="Times New Roman"/>
          <w:spacing w:val="-2"/>
        </w:rPr>
        <w:t xml:space="preserve"> được quy định nhưng chỉ mang tính chất dự kiến, HĐXX chưa tiến hành làm việc. Hơn nữa</w:t>
      </w:r>
      <w:r w:rsidR="00BB76AA" w:rsidRPr="009146D0">
        <w:rPr>
          <w:rFonts w:ascii="Times New Roman" w:hAnsi="Times New Roman" w:cs="Times New Roman"/>
          <w:spacing w:val="-2"/>
        </w:rPr>
        <w:t>,</w:t>
      </w:r>
      <w:r w:rsidR="003A00C7" w:rsidRPr="009146D0">
        <w:rPr>
          <w:rFonts w:ascii="Times New Roman" w:hAnsi="Times New Roman" w:cs="Times New Roman"/>
          <w:spacing w:val="-2"/>
        </w:rPr>
        <w:t xml:space="preserve"> ở giai đoạn này thuộc khoảng thời gian chuẩn bị xét xử phúc thẩ</w:t>
      </w:r>
      <w:r w:rsidR="0055400C" w:rsidRPr="009146D0">
        <w:rPr>
          <w:rFonts w:ascii="Times New Roman" w:hAnsi="Times New Roman" w:cs="Times New Roman"/>
          <w:spacing w:val="-2"/>
        </w:rPr>
        <w:t>m nên t</w:t>
      </w:r>
      <w:r w:rsidR="003A00C7" w:rsidRPr="009146D0">
        <w:rPr>
          <w:rFonts w:ascii="Times New Roman" w:hAnsi="Times New Roman" w:cs="Times New Roman"/>
          <w:spacing w:val="-2"/>
        </w:rPr>
        <w:t xml:space="preserve">hẩm phán được phân công giải quyết có quyền đình chỉ </w:t>
      </w:r>
      <w:r w:rsidR="006F60D6" w:rsidRPr="009146D0">
        <w:rPr>
          <w:rFonts w:ascii="Times New Roman" w:hAnsi="Times New Roman" w:cs="Times New Roman"/>
          <w:spacing w:val="-2"/>
        </w:rPr>
        <w:t>xét xử</w:t>
      </w:r>
      <w:r w:rsidR="003A00C7" w:rsidRPr="009146D0">
        <w:rPr>
          <w:rFonts w:ascii="Times New Roman" w:hAnsi="Times New Roman" w:cs="Times New Roman"/>
          <w:spacing w:val="-2"/>
        </w:rPr>
        <w:t xml:space="preserve"> phúc thẩm khi có căn cứ luật định.</w:t>
      </w:r>
    </w:p>
    <w:p w:rsidR="003A00C7" w:rsidRPr="009146D0" w:rsidRDefault="006F60D6"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lastRenderedPageBreak/>
        <w:t xml:space="preserve">Cách </w:t>
      </w:r>
      <w:r w:rsidR="009E57A8" w:rsidRPr="009146D0">
        <w:rPr>
          <w:rFonts w:ascii="Times New Roman" w:hAnsi="Times New Roman" w:cs="Times New Roman"/>
        </w:rPr>
        <w:t>tiếp cận</w:t>
      </w:r>
      <w:r w:rsidR="003A00C7" w:rsidRPr="009146D0">
        <w:rPr>
          <w:rFonts w:ascii="Times New Roman" w:hAnsi="Times New Roman" w:cs="Times New Roman"/>
        </w:rPr>
        <w:t xml:space="preserve"> thứ </w:t>
      </w:r>
      <w:r w:rsidRPr="009146D0">
        <w:rPr>
          <w:rFonts w:ascii="Times New Roman" w:hAnsi="Times New Roman" w:cs="Times New Roman"/>
        </w:rPr>
        <w:t>hai</w:t>
      </w:r>
      <w:r w:rsidR="002B0738" w:rsidRPr="009146D0">
        <w:rPr>
          <w:rFonts w:ascii="Times New Roman" w:hAnsi="Times New Roman" w:cs="Times New Roman"/>
        </w:rPr>
        <w:t xml:space="preserve">: Thời điểm từ khi có quyết định đưa vụ án ra xét xử phúc thẩm cho đến trước khi mở phiên </w:t>
      </w:r>
      <w:r w:rsidR="008540FE" w:rsidRPr="009146D0">
        <w:rPr>
          <w:rFonts w:ascii="Times New Roman" w:hAnsi="Times New Roman" w:cs="Times New Roman"/>
        </w:rPr>
        <w:t>toà</w:t>
      </w:r>
      <w:r w:rsidR="002B0738" w:rsidRPr="009146D0">
        <w:rPr>
          <w:rFonts w:ascii="Times New Roman" w:hAnsi="Times New Roman" w:cs="Times New Roman"/>
        </w:rPr>
        <w:t xml:space="preserve"> phúc thẩm mà người kháng cáo rút kháng cáo thì </w:t>
      </w:r>
      <w:r w:rsidR="00BB76AA" w:rsidRPr="009146D0">
        <w:rPr>
          <w:rFonts w:ascii="Times New Roman" w:hAnsi="Times New Roman" w:cs="Times New Roman"/>
        </w:rPr>
        <w:t>HĐXX</w:t>
      </w:r>
      <w:r w:rsidR="002B0738" w:rsidRPr="009146D0">
        <w:rPr>
          <w:rFonts w:ascii="Times New Roman" w:hAnsi="Times New Roman" w:cs="Times New Roman"/>
        </w:rPr>
        <w:t xml:space="preserve"> phúc thẩm sẽ ra quyết định đình chỉ xét xử phúc thẩm. Vì ở thời điểm này, </w:t>
      </w:r>
      <w:r w:rsidR="001C08B1" w:rsidRPr="009146D0">
        <w:rPr>
          <w:rFonts w:ascii="Times New Roman" w:hAnsi="Times New Roman" w:cs="Times New Roman"/>
        </w:rPr>
        <w:t xml:space="preserve">quyết định đưa vụ án ra xét xử đã được ban hành và công bố, được gửi cho những người tiến hành tố tụng, người tham gia tố tụng, đã chỉ ra được </w:t>
      </w:r>
      <w:r w:rsidR="002B0738" w:rsidRPr="009146D0">
        <w:rPr>
          <w:rFonts w:ascii="Times New Roman" w:hAnsi="Times New Roman" w:cs="Times New Roman"/>
        </w:rPr>
        <w:t xml:space="preserve">thành phần </w:t>
      </w:r>
      <w:r w:rsidR="00BB76AA" w:rsidRPr="009146D0">
        <w:rPr>
          <w:rFonts w:ascii="Times New Roman" w:hAnsi="Times New Roman" w:cs="Times New Roman"/>
        </w:rPr>
        <w:t>HĐXX</w:t>
      </w:r>
      <w:r w:rsidR="002B0738" w:rsidRPr="009146D0">
        <w:rPr>
          <w:rFonts w:ascii="Times New Roman" w:hAnsi="Times New Roman" w:cs="Times New Roman"/>
        </w:rPr>
        <w:t xml:space="preserve"> </w:t>
      </w:r>
      <w:r w:rsidR="001C08B1" w:rsidRPr="009146D0">
        <w:rPr>
          <w:rFonts w:ascii="Times New Roman" w:hAnsi="Times New Roman" w:cs="Times New Roman"/>
        </w:rPr>
        <w:t xml:space="preserve">cho nên việc ra quyết định về vụ án kể từ thời điểm ra quyết định đưa vụ án ra xét xử rồi thì </w:t>
      </w:r>
      <w:r w:rsidR="00BB76AA" w:rsidRPr="009146D0">
        <w:rPr>
          <w:rFonts w:ascii="Times New Roman" w:hAnsi="Times New Roman" w:cs="Times New Roman"/>
        </w:rPr>
        <w:t>t</w:t>
      </w:r>
      <w:r w:rsidR="002B0738" w:rsidRPr="009146D0">
        <w:rPr>
          <w:rFonts w:ascii="Times New Roman" w:hAnsi="Times New Roman" w:cs="Times New Roman"/>
        </w:rPr>
        <w:t xml:space="preserve">hẩm phán chủ </w:t>
      </w:r>
      <w:r w:rsidR="00515996" w:rsidRPr="009146D0">
        <w:rPr>
          <w:rFonts w:ascii="Times New Roman" w:hAnsi="Times New Roman" w:cs="Times New Roman"/>
        </w:rPr>
        <w:t>toạ</w:t>
      </w:r>
      <w:r w:rsidR="002B0738" w:rsidRPr="009146D0">
        <w:rPr>
          <w:rFonts w:ascii="Times New Roman" w:hAnsi="Times New Roman" w:cs="Times New Roman"/>
        </w:rPr>
        <w:t xml:space="preserve"> phiên </w:t>
      </w:r>
      <w:r w:rsidR="008540FE" w:rsidRPr="009146D0">
        <w:rPr>
          <w:rFonts w:ascii="Times New Roman" w:hAnsi="Times New Roman" w:cs="Times New Roman"/>
        </w:rPr>
        <w:t>toà</w:t>
      </w:r>
      <w:r w:rsidR="002B0738" w:rsidRPr="009146D0">
        <w:rPr>
          <w:rFonts w:ascii="Times New Roman" w:hAnsi="Times New Roman" w:cs="Times New Roman"/>
        </w:rPr>
        <w:t xml:space="preserve"> không thể có quyền</w:t>
      </w:r>
      <w:r w:rsidR="001C08B1" w:rsidRPr="009146D0">
        <w:rPr>
          <w:rFonts w:ascii="Times New Roman" w:hAnsi="Times New Roman" w:cs="Times New Roman"/>
        </w:rPr>
        <w:t xml:space="preserve"> ra </w:t>
      </w:r>
      <w:r w:rsidR="002B0738" w:rsidRPr="009146D0">
        <w:rPr>
          <w:rFonts w:ascii="Times New Roman" w:hAnsi="Times New Roman" w:cs="Times New Roman"/>
        </w:rPr>
        <w:t>quyết định</w:t>
      </w:r>
      <w:r w:rsidR="00EE6590" w:rsidRPr="009146D0">
        <w:rPr>
          <w:rFonts w:ascii="Times New Roman" w:hAnsi="Times New Roman" w:cs="Times New Roman"/>
        </w:rPr>
        <w:t xml:space="preserve"> đình chỉ xét xử phúc thẩm</w:t>
      </w:r>
      <w:r w:rsidR="001C08B1" w:rsidRPr="009146D0">
        <w:rPr>
          <w:rFonts w:ascii="Times New Roman" w:hAnsi="Times New Roman" w:cs="Times New Roman"/>
        </w:rPr>
        <w:t>.</w:t>
      </w:r>
      <w:r w:rsidR="008C66C8" w:rsidRPr="009146D0">
        <w:rPr>
          <w:rFonts w:ascii="Times New Roman" w:hAnsi="Times New Roman" w:cs="Times New Roman"/>
        </w:rPr>
        <w:t xml:space="preserve"> </w:t>
      </w:r>
      <w:r w:rsidR="00057C25" w:rsidRPr="009146D0">
        <w:rPr>
          <w:rFonts w:ascii="Times New Roman" w:hAnsi="Times New Roman" w:cs="Times New Roman"/>
        </w:rPr>
        <w:t>Đ</w:t>
      </w:r>
      <w:r w:rsidR="008C66C8" w:rsidRPr="009146D0">
        <w:rPr>
          <w:rFonts w:ascii="Times New Roman" w:hAnsi="Times New Roman" w:cs="Times New Roman"/>
        </w:rPr>
        <w:t xml:space="preserve">ương nhiên khi </w:t>
      </w:r>
      <w:r w:rsidR="00015070" w:rsidRPr="009146D0">
        <w:rPr>
          <w:rFonts w:ascii="Times New Roman" w:hAnsi="Times New Roman" w:cs="Times New Roman"/>
        </w:rPr>
        <w:t>HĐXX</w:t>
      </w:r>
      <w:r w:rsidR="008C66C8" w:rsidRPr="009146D0">
        <w:rPr>
          <w:rFonts w:ascii="Times New Roman" w:hAnsi="Times New Roman" w:cs="Times New Roman"/>
        </w:rPr>
        <w:t xml:space="preserve"> ra quyết định thì phải mở phiên </w:t>
      </w:r>
      <w:r w:rsidR="008540FE" w:rsidRPr="009146D0">
        <w:rPr>
          <w:rFonts w:ascii="Times New Roman" w:hAnsi="Times New Roman" w:cs="Times New Roman"/>
        </w:rPr>
        <w:t>toà</w:t>
      </w:r>
      <w:r w:rsidR="000D5607" w:rsidRPr="009146D0">
        <w:rPr>
          <w:rFonts w:ascii="Times New Roman" w:hAnsi="Times New Roman" w:cs="Times New Roman"/>
        </w:rPr>
        <w:t>, thực hiện</w:t>
      </w:r>
      <w:r w:rsidR="008C66C8" w:rsidRPr="009146D0">
        <w:rPr>
          <w:rFonts w:ascii="Times New Roman" w:hAnsi="Times New Roman" w:cs="Times New Roman"/>
        </w:rPr>
        <w:t xml:space="preserve"> biểu quyết theo thủ tục thông thường như tại phiên </w:t>
      </w:r>
      <w:r w:rsidR="008540FE" w:rsidRPr="009146D0">
        <w:rPr>
          <w:rFonts w:ascii="Times New Roman" w:hAnsi="Times New Roman" w:cs="Times New Roman"/>
        </w:rPr>
        <w:t>toà</w:t>
      </w:r>
      <w:r w:rsidR="008C66C8" w:rsidRPr="009146D0">
        <w:rPr>
          <w:rFonts w:ascii="Times New Roman" w:hAnsi="Times New Roman" w:cs="Times New Roman"/>
        </w:rPr>
        <w:t>.</w:t>
      </w:r>
    </w:p>
    <w:p w:rsidR="00DF76EA" w:rsidRPr="009146D0" w:rsidRDefault="000036CF"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t>C</w:t>
      </w:r>
      <w:r w:rsidR="008C66C8" w:rsidRPr="009146D0">
        <w:rPr>
          <w:rFonts w:ascii="Times New Roman" w:hAnsi="Times New Roman" w:cs="Times New Roman"/>
        </w:rPr>
        <w:t xml:space="preserve">ả hai cách </w:t>
      </w:r>
      <w:r w:rsidR="00E73521" w:rsidRPr="009146D0">
        <w:rPr>
          <w:rFonts w:ascii="Times New Roman" w:hAnsi="Times New Roman" w:cs="Times New Roman"/>
        </w:rPr>
        <w:t xml:space="preserve">tiếp cận, luận giải </w:t>
      </w:r>
      <w:r w:rsidR="008C66C8" w:rsidRPr="009146D0">
        <w:rPr>
          <w:rFonts w:ascii="Times New Roman" w:hAnsi="Times New Roman" w:cs="Times New Roman"/>
        </w:rPr>
        <w:t>trên đều có những l</w:t>
      </w:r>
      <w:r w:rsidRPr="009146D0">
        <w:rPr>
          <w:rFonts w:ascii="Times New Roman" w:hAnsi="Times New Roman" w:cs="Times New Roman"/>
        </w:rPr>
        <w:t>í</w:t>
      </w:r>
      <w:r w:rsidR="008C66C8" w:rsidRPr="009146D0">
        <w:rPr>
          <w:rFonts w:ascii="Times New Roman" w:hAnsi="Times New Roman" w:cs="Times New Roman"/>
        </w:rPr>
        <w:t xml:space="preserve"> lẽ</w:t>
      </w:r>
      <w:r w:rsidR="00EE6590" w:rsidRPr="009146D0">
        <w:rPr>
          <w:rFonts w:ascii="Times New Roman" w:hAnsi="Times New Roman" w:cs="Times New Roman"/>
        </w:rPr>
        <w:t>, lập luận</w:t>
      </w:r>
      <w:r w:rsidR="008C66C8" w:rsidRPr="009146D0">
        <w:rPr>
          <w:rFonts w:ascii="Times New Roman" w:hAnsi="Times New Roman" w:cs="Times New Roman"/>
        </w:rPr>
        <w:t xml:space="preserve"> riêng</w:t>
      </w:r>
      <w:r w:rsidR="00EE6590" w:rsidRPr="009146D0">
        <w:rPr>
          <w:rFonts w:ascii="Times New Roman" w:hAnsi="Times New Roman" w:cs="Times New Roman"/>
        </w:rPr>
        <w:t xml:space="preserve"> nhất định</w:t>
      </w:r>
      <w:r w:rsidR="008C66C8" w:rsidRPr="009146D0">
        <w:rPr>
          <w:rFonts w:ascii="Times New Roman" w:hAnsi="Times New Roman" w:cs="Times New Roman"/>
        </w:rPr>
        <w:t xml:space="preserve"> song cách </w:t>
      </w:r>
      <w:r w:rsidR="00E73521" w:rsidRPr="009146D0">
        <w:rPr>
          <w:rFonts w:ascii="Times New Roman" w:hAnsi="Times New Roman" w:cs="Times New Roman"/>
        </w:rPr>
        <w:t xml:space="preserve">tiếp cận </w:t>
      </w:r>
      <w:r w:rsidR="008C66C8" w:rsidRPr="009146D0">
        <w:rPr>
          <w:rFonts w:ascii="Times New Roman" w:hAnsi="Times New Roman" w:cs="Times New Roman"/>
        </w:rPr>
        <w:t>thứ nhất</w:t>
      </w:r>
      <w:r w:rsidR="00EE6590" w:rsidRPr="009146D0">
        <w:rPr>
          <w:rFonts w:ascii="Times New Roman" w:hAnsi="Times New Roman" w:cs="Times New Roman"/>
        </w:rPr>
        <w:t xml:space="preserve"> </w:t>
      </w:r>
      <w:r w:rsidR="007A1D44" w:rsidRPr="009146D0">
        <w:rPr>
          <w:rFonts w:ascii="Times New Roman" w:hAnsi="Times New Roman" w:cs="Times New Roman"/>
        </w:rPr>
        <w:t>là phù hợp hơn</w:t>
      </w:r>
      <w:r w:rsidR="00DB25FB" w:rsidRPr="009146D0">
        <w:rPr>
          <w:rFonts w:ascii="Times New Roman" w:hAnsi="Times New Roman" w:cs="Times New Roman"/>
        </w:rPr>
        <w:t>. Bởi</w:t>
      </w:r>
      <w:r w:rsidR="008C66C8" w:rsidRPr="009146D0">
        <w:rPr>
          <w:rFonts w:ascii="Times New Roman" w:hAnsi="Times New Roman" w:cs="Times New Roman"/>
        </w:rPr>
        <w:t xml:space="preserve"> lẽ, </w:t>
      </w:r>
      <w:r w:rsidR="000D5607" w:rsidRPr="009146D0">
        <w:rPr>
          <w:rFonts w:ascii="Times New Roman" w:hAnsi="Times New Roman" w:cs="Times New Roman"/>
        </w:rPr>
        <w:t xml:space="preserve">theo cách </w:t>
      </w:r>
      <w:r w:rsidR="00E73521" w:rsidRPr="009146D0">
        <w:rPr>
          <w:rFonts w:ascii="Times New Roman" w:hAnsi="Times New Roman" w:cs="Times New Roman"/>
        </w:rPr>
        <w:t xml:space="preserve">tiếp cận </w:t>
      </w:r>
      <w:r w:rsidR="000D5607" w:rsidRPr="009146D0">
        <w:rPr>
          <w:rFonts w:ascii="Times New Roman" w:hAnsi="Times New Roman" w:cs="Times New Roman"/>
        </w:rPr>
        <w:t xml:space="preserve">thứ hai, việc </w:t>
      </w:r>
      <w:r w:rsidR="008C66C8" w:rsidRPr="009146D0">
        <w:rPr>
          <w:rFonts w:ascii="Times New Roman" w:hAnsi="Times New Roman" w:cs="Times New Roman"/>
        </w:rPr>
        <w:t xml:space="preserve">giao thẩm quyền đình chỉ cho </w:t>
      </w:r>
      <w:r w:rsidR="001B5643" w:rsidRPr="009146D0">
        <w:rPr>
          <w:rFonts w:ascii="Times New Roman" w:hAnsi="Times New Roman" w:cs="Times New Roman"/>
        </w:rPr>
        <w:t>HĐXX</w:t>
      </w:r>
      <w:r w:rsidR="008C66C8" w:rsidRPr="009146D0">
        <w:rPr>
          <w:rFonts w:ascii="Times New Roman" w:hAnsi="Times New Roman" w:cs="Times New Roman"/>
        </w:rPr>
        <w:t xml:space="preserve"> phúc thẩm</w:t>
      </w:r>
      <w:r w:rsidR="000D5607" w:rsidRPr="009146D0">
        <w:rPr>
          <w:rFonts w:ascii="Times New Roman" w:hAnsi="Times New Roman" w:cs="Times New Roman"/>
        </w:rPr>
        <w:t xml:space="preserve"> ở thời điểm </w:t>
      </w:r>
      <w:r w:rsidR="00EE6590" w:rsidRPr="009146D0">
        <w:rPr>
          <w:rFonts w:ascii="Times New Roman" w:hAnsi="Times New Roman" w:cs="Times New Roman"/>
        </w:rPr>
        <w:t xml:space="preserve">từ khi có quyết định đưa vụ án ra xét xử cho đến thời điểm trước khi mở phiên </w:t>
      </w:r>
      <w:r w:rsidR="008540FE" w:rsidRPr="009146D0">
        <w:rPr>
          <w:rFonts w:ascii="Times New Roman" w:hAnsi="Times New Roman" w:cs="Times New Roman"/>
        </w:rPr>
        <w:t>toà</w:t>
      </w:r>
      <w:r w:rsidR="00EE6590" w:rsidRPr="009146D0">
        <w:rPr>
          <w:rFonts w:ascii="Times New Roman" w:hAnsi="Times New Roman" w:cs="Times New Roman"/>
        </w:rPr>
        <w:t xml:space="preserve"> sẽ thiếu tính khả thi. </w:t>
      </w:r>
      <w:r w:rsidR="00116083" w:rsidRPr="009146D0">
        <w:rPr>
          <w:rFonts w:ascii="Times New Roman" w:hAnsi="Times New Roman" w:cs="Times New Roman"/>
        </w:rPr>
        <w:t>P</w:t>
      </w:r>
      <w:r w:rsidR="009D3E25" w:rsidRPr="009146D0">
        <w:rPr>
          <w:rFonts w:ascii="Times New Roman" w:hAnsi="Times New Roman" w:cs="Times New Roman"/>
        </w:rPr>
        <w:t xml:space="preserve">hiên </w:t>
      </w:r>
      <w:r w:rsidR="008540FE" w:rsidRPr="009146D0">
        <w:rPr>
          <w:rFonts w:ascii="Times New Roman" w:hAnsi="Times New Roman" w:cs="Times New Roman"/>
        </w:rPr>
        <w:t>toà</w:t>
      </w:r>
      <w:r w:rsidR="009D3E25" w:rsidRPr="009146D0">
        <w:rPr>
          <w:rFonts w:ascii="Times New Roman" w:hAnsi="Times New Roman" w:cs="Times New Roman"/>
        </w:rPr>
        <w:t xml:space="preserve"> </w:t>
      </w:r>
      <w:r w:rsidR="00116083" w:rsidRPr="009146D0">
        <w:rPr>
          <w:rFonts w:ascii="Times New Roman" w:hAnsi="Times New Roman" w:cs="Times New Roman"/>
        </w:rPr>
        <w:t xml:space="preserve">xét xử phúc thẩm </w:t>
      </w:r>
      <w:r w:rsidR="00F83ADE" w:rsidRPr="009146D0">
        <w:rPr>
          <w:rFonts w:ascii="Times New Roman" w:hAnsi="Times New Roman" w:cs="Times New Roman"/>
        </w:rPr>
        <w:t xml:space="preserve">lúc này </w:t>
      </w:r>
      <w:r w:rsidR="009D3E25" w:rsidRPr="009146D0">
        <w:rPr>
          <w:rFonts w:ascii="Times New Roman" w:hAnsi="Times New Roman" w:cs="Times New Roman"/>
        </w:rPr>
        <w:t xml:space="preserve">chưa </w:t>
      </w:r>
      <w:r w:rsidR="005D720B" w:rsidRPr="009146D0">
        <w:rPr>
          <w:rFonts w:ascii="Times New Roman" w:hAnsi="Times New Roman" w:cs="Times New Roman"/>
        </w:rPr>
        <w:t>diễn ra</w:t>
      </w:r>
      <w:r w:rsidR="00F83ADE" w:rsidRPr="009146D0">
        <w:rPr>
          <w:rFonts w:ascii="Times New Roman" w:hAnsi="Times New Roman" w:cs="Times New Roman"/>
        </w:rPr>
        <w:t>;</w:t>
      </w:r>
      <w:r w:rsidR="009D3E25" w:rsidRPr="009146D0">
        <w:rPr>
          <w:rFonts w:ascii="Times New Roman" w:hAnsi="Times New Roman" w:cs="Times New Roman"/>
        </w:rPr>
        <w:t xml:space="preserve"> việc hội ý, thảo luận</w:t>
      </w:r>
      <w:r w:rsidR="00116083" w:rsidRPr="009146D0">
        <w:rPr>
          <w:rFonts w:ascii="Times New Roman" w:hAnsi="Times New Roman" w:cs="Times New Roman"/>
        </w:rPr>
        <w:t xml:space="preserve"> để</w:t>
      </w:r>
      <w:r w:rsidR="00F83ADE" w:rsidRPr="009146D0">
        <w:rPr>
          <w:rFonts w:ascii="Times New Roman" w:hAnsi="Times New Roman" w:cs="Times New Roman"/>
        </w:rPr>
        <w:t xml:space="preserve"> thông qua</w:t>
      </w:r>
      <w:r w:rsidR="00116083" w:rsidRPr="009146D0">
        <w:rPr>
          <w:rFonts w:ascii="Times New Roman" w:hAnsi="Times New Roman" w:cs="Times New Roman"/>
        </w:rPr>
        <w:t xml:space="preserve"> quyết định đình chỉ</w:t>
      </w:r>
      <w:r w:rsidR="009D3E25" w:rsidRPr="009146D0">
        <w:rPr>
          <w:rFonts w:ascii="Times New Roman" w:hAnsi="Times New Roman" w:cs="Times New Roman"/>
        </w:rPr>
        <w:t xml:space="preserve"> </w:t>
      </w:r>
      <w:r w:rsidR="00116083" w:rsidRPr="009146D0">
        <w:rPr>
          <w:rFonts w:ascii="Times New Roman" w:hAnsi="Times New Roman" w:cs="Times New Roman"/>
        </w:rPr>
        <w:t xml:space="preserve">xét xử </w:t>
      </w:r>
      <w:r w:rsidR="005D720B" w:rsidRPr="009146D0">
        <w:rPr>
          <w:rFonts w:ascii="Times New Roman" w:hAnsi="Times New Roman" w:cs="Times New Roman"/>
        </w:rPr>
        <w:t xml:space="preserve">của </w:t>
      </w:r>
      <w:r w:rsidR="00D76297" w:rsidRPr="009146D0">
        <w:rPr>
          <w:rFonts w:ascii="Times New Roman" w:hAnsi="Times New Roman" w:cs="Times New Roman"/>
        </w:rPr>
        <w:t>h</w:t>
      </w:r>
      <w:r w:rsidR="005D720B" w:rsidRPr="009146D0">
        <w:rPr>
          <w:rFonts w:ascii="Times New Roman" w:hAnsi="Times New Roman" w:cs="Times New Roman"/>
        </w:rPr>
        <w:t xml:space="preserve">ội đồng </w:t>
      </w:r>
      <w:r w:rsidR="00116083" w:rsidRPr="009146D0">
        <w:rPr>
          <w:rFonts w:ascii="Times New Roman" w:hAnsi="Times New Roman" w:cs="Times New Roman"/>
        </w:rPr>
        <w:t>phúc thẩm</w:t>
      </w:r>
      <w:r w:rsidR="005D720B" w:rsidRPr="009146D0">
        <w:rPr>
          <w:rFonts w:ascii="Times New Roman" w:hAnsi="Times New Roman" w:cs="Times New Roman"/>
        </w:rPr>
        <w:t xml:space="preserve"> không những không thuận tiện mà </w:t>
      </w:r>
      <w:r w:rsidR="00DF76EA" w:rsidRPr="009146D0">
        <w:rPr>
          <w:rFonts w:ascii="Times New Roman" w:hAnsi="Times New Roman" w:cs="Times New Roman"/>
        </w:rPr>
        <w:t xml:space="preserve">ngược lại </w:t>
      </w:r>
      <w:r w:rsidR="005D720B" w:rsidRPr="009146D0">
        <w:rPr>
          <w:rFonts w:ascii="Times New Roman" w:hAnsi="Times New Roman" w:cs="Times New Roman"/>
        </w:rPr>
        <w:t xml:space="preserve">còn là </w:t>
      </w:r>
      <w:r w:rsidR="009D3E25" w:rsidRPr="009146D0">
        <w:rPr>
          <w:rFonts w:ascii="Times New Roman" w:hAnsi="Times New Roman" w:cs="Times New Roman"/>
        </w:rPr>
        <w:t>trở ngạ</w:t>
      </w:r>
      <w:r w:rsidR="00116083" w:rsidRPr="009146D0">
        <w:rPr>
          <w:rFonts w:ascii="Times New Roman" w:hAnsi="Times New Roman" w:cs="Times New Roman"/>
        </w:rPr>
        <w:t xml:space="preserve">i, </w:t>
      </w:r>
      <w:r w:rsidR="00666205" w:rsidRPr="009146D0">
        <w:rPr>
          <w:rFonts w:ascii="Times New Roman" w:hAnsi="Times New Roman" w:cs="Times New Roman"/>
        </w:rPr>
        <w:t xml:space="preserve">tạo </w:t>
      </w:r>
      <w:r w:rsidR="00116083" w:rsidRPr="009146D0">
        <w:rPr>
          <w:rFonts w:ascii="Times New Roman" w:hAnsi="Times New Roman" w:cs="Times New Roman"/>
        </w:rPr>
        <w:t xml:space="preserve">thêm </w:t>
      </w:r>
      <w:r w:rsidR="00666205" w:rsidRPr="009146D0">
        <w:rPr>
          <w:rFonts w:ascii="Times New Roman" w:hAnsi="Times New Roman" w:cs="Times New Roman"/>
        </w:rPr>
        <w:t xml:space="preserve">gánh nặng </w:t>
      </w:r>
      <w:r w:rsidR="00116083" w:rsidRPr="009146D0">
        <w:rPr>
          <w:rFonts w:ascii="Times New Roman" w:hAnsi="Times New Roman" w:cs="Times New Roman"/>
        </w:rPr>
        <w:t xml:space="preserve">cho </w:t>
      </w:r>
      <w:r w:rsidR="007A1D44" w:rsidRPr="009146D0">
        <w:rPr>
          <w:rFonts w:ascii="Times New Roman" w:hAnsi="Times New Roman" w:cs="Times New Roman"/>
        </w:rPr>
        <w:t>t</w:t>
      </w:r>
      <w:r w:rsidR="008540FE" w:rsidRPr="009146D0">
        <w:rPr>
          <w:rFonts w:ascii="Times New Roman" w:hAnsi="Times New Roman" w:cs="Times New Roman"/>
        </w:rPr>
        <w:t>oà</w:t>
      </w:r>
      <w:r w:rsidR="00116083" w:rsidRPr="009146D0">
        <w:rPr>
          <w:rFonts w:ascii="Times New Roman" w:hAnsi="Times New Roman" w:cs="Times New Roman"/>
        </w:rPr>
        <w:t xml:space="preserve"> án. Chính vì thế, </w:t>
      </w:r>
      <w:r w:rsidR="00DF76EA" w:rsidRPr="009146D0">
        <w:rPr>
          <w:rFonts w:ascii="Times New Roman" w:hAnsi="Times New Roman" w:cs="Times New Roman"/>
        </w:rPr>
        <w:t xml:space="preserve">trên tinh thần vừa đơn giản hóa thủ tục tố tụng, vừa bảo đảm được chất lượng của việc đình chỉ xét xử phúc thẩm, </w:t>
      </w:r>
      <w:r w:rsidR="00116083" w:rsidRPr="009146D0">
        <w:rPr>
          <w:rFonts w:ascii="Times New Roman" w:hAnsi="Times New Roman" w:cs="Times New Roman"/>
        </w:rPr>
        <w:t xml:space="preserve">việc giao cho </w:t>
      </w:r>
      <w:r w:rsidR="00340914" w:rsidRPr="009146D0">
        <w:rPr>
          <w:rFonts w:ascii="Times New Roman" w:hAnsi="Times New Roman" w:cs="Times New Roman"/>
        </w:rPr>
        <w:t>t</w:t>
      </w:r>
      <w:r w:rsidR="00116083" w:rsidRPr="009146D0">
        <w:rPr>
          <w:rFonts w:ascii="Times New Roman" w:hAnsi="Times New Roman" w:cs="Times New Roman"/>
        </w:rPr>
        <w:t xml:space="preserve">hẩm phán chủ tọa phiên </w:t>
      </w:r>
      <w:r w:rsidR="008540FE" w:rsidRPr="009146D0">
        <w:rPr>
          <w:rFonts w:ascii="Times New Roman" w:hAnsi="Times New Roman" w:cs="Times New Roman"/>
        </w:rPr>
        <w:t>toà</w:t>
      </w:r>
      <w:r w:rsidR="00116083" w:rsidRPr="009146D0">
        <w:rPr>
          <w:rFonts w:ascii="Times New Roman" w:hAnsi="Times New Roman" w:cs="Times New Roman"/>
        </w:rPr>
        <w:t xml:space="preserve"> đình chỉ xét xử phúc thẩm ở thời điểm </w:t>
      </w:r>
      <w:r w:rsidR="00DF76EA" w:rsidRPr="009146D0">
        <w:rPr>
          <w:rFonts w:ascii="Times New Roman" w:hAnsi="Times New Roman" w:cs="Times New Roman"/>
        </w:rPr>
        <w:t xml:space="preserve">từ khi có quyết định đưa vụ án ra xét xử cho đến </w:t>
      </w:r>
      <w:r w:rsidR="00116083" w:rsidRPr="009146D0">
        <w:rPr>
          <w:rFonts w:ascii="Times New Roman" w:hAnsi="Times New Roman" w:cs="Times New Roman"/>
        </w:rPr>
        <w:t xml:space="preserve">trước khi mở phiên </w:t>
      </w:r>
      <w:r w:rsidR="008540FE" w:rsidRPr="009146D0">
        <w:rPr>
          <w:rFonts w:ascii="Times New Roman" w:hAnsi="Times New Roman" w:cs="Times New Roman"/>
        </w:rPr>
        <w:t>toà</w:t>
      </w:r>
      <w:r w:rsidR="00116083" w:rsidRPr="009146D0">
        <w:rPr>
          <w:rFonts w:ascii="Times New Roman" w:hAnsi="Times New Roman" w:cs="Times New Roman"/>
        </w:rPr>
        <w:t xml:space="preserve"> phúc thẩm</w:t>
      </w:r>
      <w:r w:rsidR="00F83ADE" w:rsidRPr="009146D0">
        <w:rPr>
          <w:rFonts w:ascii="Times New Roman" w:hAnsi="Times New Roman" w:cs="Times New Roman"/>
        </w:rPr>
        <w:t xml:space="preserve"> </w:t>
      </w:r>
      <w:r w:rsidR="00116083" w:rsidRPr="009146D0">
        <w:rPr>
          <w:rFonts w:ascii="Times New Roman" w:hAnsi="Times New Roman" w:cs="Times New Roman"/>
        </w:rPr>
        <w:t>là cần thiết</w:t>
      </w:r>
      <w:r w:rsidR="00DF76EA" w:rsidRPr="009146D0">
        <w:rPr>
          <w:rFonts w:ascii="Times New Roman" w:hAnsi="Times New Roman" w:cs="Times New Roman"/>
        </w:rPr>
        <w:t xml:space="preserve">, giảm thiểu các thủ tục rườm ra cho </w:t>
      </w:r>
      <w:r w:rsidR="00340914" w:rsidRPr="009146D0">
        <w:rPr>
          <w:rFonts w:ascii="Times New Roman" w:hAnsi="Times New Roman" w:cs="Times New Roman"/>
        </w:rPr>
        <w:t>t</w:t>
      </w:r>
      <w:r w:rsidR="008540FE" w:rsidRPr="009146D0">
        <w:rPr>
          <w:rFonts w:ascii="Times New Roman" w:hAnsi="Times New Roman" w:cs="Times New Roman"/>
        </w:rPr>
        <w:t>oà</w:t>
      </w:r>
      <w:r w:rsidR="00DF76EA" w:rsidRPr="009146D0">
        <w:rPr>
          <w:rFonts w:ascii="Times New Roman" w:hAnsi="Times New Roman" w:cs="Times New Roman"/>
        </w:rPr>
        <w:t xml:space="preserve"> án.</w:t>
      </w:r>
      <w:r w:rsidR="00DC281B" w:rsidRPr="009146D0">
        <w:rPr>
          <w:rFonts w:ascii="Times New Roman" w:hAnsi="Times New Roman" w:cs="Times New Roman"/>
        </w:rPr>
        <w:t xml:space="preserve"> </w:t>
      </w:r>
    </w:p>
    <w:p w:rsidR="00F7178E" w:rsidRPr="009146D0" w:rsidRDefault="00340914"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t>Như vậy, cần</w:t>
      </w:r>
      <w:r w:rsidR="00DF76EA" w:rsidRPr="009146D0">
        <w:rPr>
          <w:rFonts w:ascii="Times New Roman" w:hAnsi="Times New Roman" w:cs="Times New Roman"/>
        </w:rPr>
        <w:t xml:space="preserve"> giữ nguyên quy định tại </w:t>
      </w:r>
      <w:r w:rsidR="00DF76EA" w:rsidRPr="009146D0">
        <w:rPr>
          <w:rFonts w:ascii="Times New Roman" w:hAnsi="Times New Roman" w:cs="Times New Roman"/>
        </w:rPr>
        <w:lastRenderedPageBreak/>
        <w:t>khoản 3 Điều 218 Luật TTHC và</w:t>
      </w:r>
      <w:r w:rsidR="00DC281B" w:rsidRPr="009146D0">
        <w:rPr>
          <w:rFonts w:ascii="Times New Roman" w:hAnsi="Times New Roman" w:cs="Times New Roman"/>
        </w:rPr>
        <w:t xml:space="preserve"> sửa</w:t>
      </w:r>
      <w:r w:rsidR="00DF76EA" w:rsidRPr="009146D0">
        <w:rPr>
          <w:rFonts w:ascii="Times New Roman" w:hAnsi="Times New Roman" w:cs="Times New Roman"/>
        </w:rPr>
        <w:t xml:space="preserve"> thời điểm xác định đình chỉ xét xử phúc thẩm tại </w:t>
      </w:r>
      <w:r w:rsidR="00DC281B" w:rsidRPr="009146D0">
        <w:rPr>
          <w:rFonts w:ascii="Times New Roman" w:hAnsi="Times New Roman" w:cs="Times New Roman"/>
        </w:rPr>
        <w:t xml:space="preserve">khoản </w:t>
      </w:r>
      <w:r w:rsidR="0004779A" w:rsidRPr="009146D0">
        <w:rPr>
          <w:rFonts w:ascii="Times New Roman" w:hAnsi="Times New Roman" w:cs="Times New Roman"/>
        </w:rPr>
        <w:t xml:space="preserve">2 Điều 229 </w:t>
      </w:r>
      <w:r w:rsidR="00DF76EA" w:rsidRPr="009146D0">
        <w:rPr>
          <w:rFonts w:ascii="Times New Roman" w:hAnsi="Times New Roman" w:cs="Times New Roman"/>
        </w:rPr>
        <w:t xml:space="preserve">cho tương thích </w:t>
      </w:r>
      <w:r w:rsidR="00DC281B" w:rsidRPr="009146D0">
        <w:rPr>
          <w:rFonts w:ascii="Times New Roman" w:hAnsi="Times New Roman" w:cs="Times New Roman"/>
        </w:rPr>
        <w:t>như sau</w:t>
      </w:r>
      <w:r w:rsidR="0004779A" w:rsidRPr="009146D0">
        <w:rPr>
          <w:rFonts w:ascii="Times New Roman" w:hAnsi="Times New Roman" w:cs="Times New Roman"/>
        </w:rPr>
        <w:t xml:space="preserve"> “trường hợp người kháng cáo rút toàn bộ kháng cáo hoặc </w:t>
      </w:r>
      <w:r w:rsidRPr="009146D0">
        <w:rPr>
          <w:rFonts w:ascii="Times New Roman" w:hAnsi="Times New Roman" w:cs="Times New Roman"/>
        </w:rPr>
        <w:t>VKS</w:t>
      </w:r>
      <w:r w:rsidR="0004779A" w:rsidRPr="009146D0">
        <w:rPr>
          <w:rFonts w:ascii="Times New Roman" w:hAnsi="Times New Roman" w:cs="Times New Roman"/>
        </w:rPr>
        <w:t xml:space="preserve"> rút toàn bộ kháng nghị trước khi </w:t>
      </w:r>
      <w:r w:rsidR="00DC281B" w:rsidRPr="009146D0">
        <w:rPr>
          <w:rFonts w:ascii="Times New Roman" w:hAnsi="Times New Roman" w:cs="Times New Roman"/>
        </w:rPr>
        <w:t xml:space="preserve">mở phiên </w:t>
      </w:r>
      <w:r w:rsidR="008540FE" w:rsidRPr="009146D0">
        <w:rPr>
          <w:rFonts w:ascii="Times New Roman" w:hAnsi="Times New Roman" w:cs="Times New Roman"/>
        </w:rPr>
        <w:t>toà</w:t>
      </w:r>
      <w:r w:rsidR="0004779A" w:rsidRPr="009146D0">
        <w:rPr>
          <w:rFonts w:ascii="Times New Roman" w:hAnsi="Times New Roman" w:cs="Times New Roman"/>
        </w:rPr>
        <w:t xml:space="preserve"> xét xử phúc thẩm</w:t>
      </w:r>
      <w:r w:rsidRPr="009146D0">
        <w:rPr>
          <w:rFonts w:ascii="Times New Roman" w:hAnsi="Times New Roman" w:cs="Times New Roman"/>
        </w:rPr>
        <w:t xml:space="preserve"> thì t</w:t>
      </w:r>
      <w:r w:rsidR="0004779A" w:rsidRPr="009146D0">
        <w:rPr>
          <w:rFonts w:ascii="Times New Roman" w:hAnsi="Times New Roman" w:cs="Times New Roman"/>
        </w:rPr>
        <w:t xml:space="preserve">hẩm phán được phân công làm chủ tọa phiên </w:t>
      </w:r>
      <w:r w:rsidR="008540FE" w:rsidRPr="009146D0">
        <w:rPr>
          <w:rFonts w:ascii="Times New Roman" w:hAnsi="Times New Roman" w:cs="Times New Roman"/>
        </w:rPr>
        <w:t>toà</w:t>
      </w:r>
      <w:r w:rsidR="0004779A" w:rsidRPr="009146D0">
        <w:rPr>
          <w:rFonts w:ascii="Times New Roman" w:hAnsi="Times New Roman" w:cs="Times New Roman"/>
        </w:rPr>
        <w:t xml:space="preserve"> ra quyết định đình chỉ xét xử phúc thẩm, trong trường hợp người kháng cáo rút toàn bộ kháng cáo, </w:t>
      </w:r>
      <w:r w:rsidRPr="009146D0">
        <w:rPr>
          <w:rFonts w:ascii="Times New Roman" w:hAnsi="Times New Roman" w:cs="Times New Roman"/>
        </w:rPr>
        <w:t>VKS</w:t>
      </w:r>
      <w:r w:rsidR="0004779A" w:rsidRPr="009146D0">
        <w:rPr>
          <w:rFonts w:ascii="Times New Roman" w:hAnsi="Times New Roman" w:cs="Times New Roman"/>
        </w:rPr>
        <w:t xml:space="preserve"> rút toàn bộ kháng nghị </w:t>
      </w:r>
      <w:r w:rsidR="00DC281B" w:rsidRPr="009146D0">
        <w:rPr>
          <w:rFonts w:ascii="Times New Roman" w:hAnsi="Times New Roman" w:cs="Times New Roman"/>
        </w:rPr>
        <w:t xml:space="preserve">tại phiên </w:t>
      </w:r>
      <w:r w:rsidR="008540FE" w:rsidRPr="009146D0">
        <w:rPr>
          <w:rFonts w:ascii="Times New Roman" w:hAnsi="Times New Roman" w:cs="Times New Roman"/>
        </w:rPr>
        <w:t>toà</w:t>
      </w:r>
      <w:r w:rsidR="0004779A" w:rsidRPr="009146D0">
        <w:rPr>
          <w:rFonts w:ascii="Times New Roman" w:hAnsi="Times New Roman" w:cs="Times New Roman"/>
        </w:rPr>
        <w:t xml:space="preserve"> thì </w:t>
      </w:r>
      <w:r w:rsidRPr="009146D0">
        <w:rPr>
          <w:rFonts w:ascii="Times New Roman" w:hAnsi="Times New Roman" w:cs="Times New Roman"/>
        </w:rPr>
        <w:t>HĐXX</w:t>
      </w:r>
      <w:r w:rsidR="0004779A" w:rsidRPr="009146D0">
        <w:rPr>
          <w:rFonts w:ascii="Times New Roman" w:hAnsi="Times New Roman" w:cs="Times New Roman"/>
        </w:rPr>
        <w:t xml:space="preserve"> phúc thẩm ra quyết định đình chỉ xét xử phúc thẩm”.</w:t>
      </w:r>
    </w:p>
    <w:p w:rsidR="009928F8" w:rsidRPr="009146D0" w:rsidRDefault="009928F8" w:rsidP="00081D48">
      <w:pPr>
        <w:widowControl w:val="0"/>
        <w:spacing w:line="276" w:lineRule="auto"/>
        <w:ind w:firstLine="369"/>
        <w:jc w:val="both"/>
        <w:rPr>
          <w:rFonts w:ascii="Times New Roman" w:hAnsi="Times New Roman" w:cs="Times New Roman"/>
          <w:b/>
          <w:spacing w:val="-2"/>
        </w:rPr>
      </w:pPr>
      <w:r w:rsidRPr="009146D0">
        <w:rPr>
          <w:rFonts w:ascii="Times New Roman" w:hAnsi="Times New Roman" w:cs="Times New Roman"/>
          <w:i/>
          <w:spacing w:val="-2"/>
        </w:rPr>
        <w:t>Thứ</w:t>
      </w:r>
      <w:r w:rsidR="00AD2E4B" w:rsidRPr="009146D0">
        <w:rPr>
          <w:rFonts w:ascii="Times New Roman" w:hAnsi="Times New Roman" w:cs="Times New Roman"/>
          <w:i/>
          <w:spacing w:val="-2"/>
        </w:rPr>
        <w:t xml:space="preserve"> ba</w:t>
      </w:r>
      <w:r w:rsidRPr="009146D0">
        <w:rPr>
          <w:rFonts w:ascii="Times New Roman" w:hAnsi="Times New Roman" w:cs="Times New Roman"/>
          <w:i/>
          <w:spacing w:val="-2"/>
        </w:rPr>
        <w:t xml:space="preserve">, </w:t>
      </w:r>
      <w:r w:rsidRPr="009146D0">
        <w:rPr>
          <w:rFonts w:ascii="Times New Roman" w:hAnsi="Times New Roman" w:cs="Times New Roman"/>
          <w:spacing w:val="-2"/>
        </w:rPr>
        <w:t xml:space="preserve">Luật TTHC chưa quy định cụ thể về khoảng thời gian mà </w:t>
      </w:r>
      <w:r w:rsidR="007A67FA" w:rsidRPr="009146D0">
        <w:rPr>
          <w:rFonts w:ascii="Times New Roman" w:hAnsi="Times New Roman" w:cs="Times New Roman"/>
          <w:spacing w:val="-2"/>
        </w:rPr>
        <w:t>t</w:t>
      </w:r>
      <w:r w:rsidR="008540FE" w:rsidRPr="009146D0">
        <w:rPr>
          <w:rFonts w:ascii="Times New Roman" w:hAnsi="Times New Roman" w:cs="Times New Roman"/>
          <w:spacing w:val="-2"/>
        </w:rPr>
        <w:t>oà</w:t>
      </w:r>
      <w:r w:rsidRPr="009146D0">
        <w:rPr>
          <w:rFonts w:ascii="Times New Roman" w:hAnsi="Times New Roman" w:cs="Times New Roman"/>
          <w:spacing w:val="-2"/>
        </w:rPr>
        <w:t xml:space="preserve"> án cấp phúc thẩm phải thông báo cho VKS cùng</w:t>
      </w:r>
      <w:r w:rsidRPr="009146D0">
        <w:rPr>
          <w:rFonts w:ascii="Times New Roman" w:hAnsi="Times New Roman" w:cs="Times New Roman"/>
          <w:b/>
          <w:spacing w:val="-2"/>
        </w:rPr>
        <w:t xml:space="preserve"> </w:t>
      </w:r>
      <w:r w:rsidRPr="009146D0">
        <w:rPr>
          <w:rFonts w:ascii="Times New Roman" w:hAnsi="Times New Roman" w:cs="Times New Roman"/>
          <w:spacing w:val="-2"/>
        </w:rPr>
        <w:t>cấp về</w:t>
      </w:r>
      <w:r w:rsidRPr="009146D0">
        <w:rPr>
          <w:rFonts w:ascii="Times New Roman" w:hAnsi="Times New Roman" w:cs="Times New Roman"/>
          <w:b/>
          <w:spacing w:val="-2"/>
        </w:rPr>
        <w:t xml:space="preserve"> </w:t>
      </w:r>
      <w:r w:rsidRPr="009146D0">
        <w:rPr>
          <w:rFonts w:ascii="Times New Roman" w:hAnsi="Times New Roman" w:cs="Times New Roman"/>
          <w:spacing w:val="-2"/>
        </w:rPr>
        <w:t xml:space="preserve">việc </w:t>
      </w:r>
      <w:r w:rsidRPr="009146D0">
        <w:rPr>
          <w:rFonts w:ascii="Times New Roman" w:hAnsi="Times New Roman" w:cs="Times New Roman"/>
          <w:spacing w:val="-4"/>
        </w:rPr>
        <w:t>thay đổi, bổ sung, rút khán</w:t>
      </w:r>
      <w:r w:rsidR="00C20F8C" w:rsidRPr="009146D0">
        <w:rPr>
          <w:rFonts w:ascii="Times New Roman" w:hAnsi="Times New Roman" w:cs="Times New Roman"/>
          <w:spacing w:val="-4"/>
        </w:rPr>
        <w:t>g</w:t>
      </w:r>
      <w:r w:rsidRPr="009146D0">
        <w:rPr>
          <w:rFonts w:ascii="Times New Roman" w:hAnsi="Times New Roman" w:cs="Times New Roman"/>
          <w:spacing w:val="-4"/>
        </w:rPr>
        <w:t xml:space="preserve"> cáo của đương sự</w:t>
      </w:r>
      <w:r w:rsidR="00E65B99" w:rsidRPr="009146D0">
        <w:rPr>
          <w:rFonts w:ascii="Times New Roman" w:hAnsi="Times New Roman" w:cs="Times New Roman"/>
          <w:spacing w:val="-4"/>
        </w:rPr>
        <w:t>.</w:t>
      </w:r>
    </w:p>
    <w:p w:rsidR="00ED2740" w:rsidRPr="009146D0" w:rsidRDefault="009928F8" w:rsidP="00081D48">
      <w:pPr>
        <w:widowControl w:val="0"/>
        <w:spacing w:line="276" w:lineRule="auto"/>
        <w:ind w:firstLine="369"/>
        <w:jc w:val="both"/>
        <w:rPr>
          <w:rFonts w:ascii="Times New Roman" w:hAnsi="Times New Roman" w:cs="Times New Roman"/>
        </w:rPr>
      </w:pPr>
      <w:r w:rsidRPr="009146D0">
        <w:rPr>
          <w:rFonts w:ascii="Times New Roman" w:hAnsi="Times New Roman" w:cs="Times New Roman"/>
        </w:rPr>
        <w:t xml:space="preserve">Khoản 4 Điều 218 Luật TTHC quy định: </w:t>
      </w:r>
      <w:r w:rsidRPr="009146D0">
        <w:rPr>
          <w:rFonts w:ascii="Times New Roman" w:hAnsi="Times New Roman" w:cs="Times New Roman"/>
          <w:i/>
        </w:rPr>
        <w:t>“</w:t>
      </w:r>
      <w:r w:rsidR="008540FE" w:rsidRPr="009146D0">
        <w:rPr>
          <w:rFonts w:ascii="Times New Roman" w:hAnsi="Times New Roman" w:cs="Times New Roman"/>
          <w:i/>
        </w:rPr>
        <w:t>Toà</w:t>
      </w:r>
      <w:r w:rsidRPr="009146D0">
        <w:rPr>
          <w:rFonts w:ascii="Times New Roman" w:hAnsi="Times New Roman" w:cs="Times New Roman"/>
          <w:i/>
        </w:rPr>
        <w:t xml:space="preserve"> án cấp phúc thẩm phải thông báo cho </w:t>
      </w:r>
      <w:r w:rsidRPr="009146D0">
        <w:rPr>
          <w:rFonts w:ascii="Times New Roman" w:hAnsi="Times New Roman" w:cs="Times New Roman"/>
          <w:i/>
          <w:spacing w:val="-2"/>
        </w:rPr>
        <w:t>các đương sự về việc thay đổi, bổ sung, rút kháng cáo, kháng nghị; thông báo cho VKS cùng cấp về việc thay đổi, bổ sung, rút kháng cáo của đương sự”</w:t>
      </w:r>
      <w:r w:rsidRPr="009146D0">
        <w:rPr>
          <w:rFonts w:ascii="Times New Roman" w:hAnsi="Times New Roman" w:cs="Times New Roman"/>
          <w:spacing w:val="-2"/>
        </w:rPr>
        <w:t xml:space="preserve">. Mặc dù điều khoản này cho thấy trách nhiệm của </w:t>
      </w:r>
      <w:r w:rsidR="00160034" w:rsidRPr="009146D0">
        <w:rPr>
          <w:rFonts w:ascii="Times New Roman" w:hAnsi="Times New Roman" w:cs="Times New Roman"/>
          <w:spacing w:val="-2"/>
        </w:rPr>
        <w:t>t</w:t>
      </w:r>
      <w:r w:rsidR="008540FE" w:rsidRPr="009146D0">
        <w:rPr>
          <w:rFonts w:ascii="Times New Roman" w:hAnsi="Times New Roman" w:cs="Times New Roman"/>
          <w:spacing w:val="-2"/>
        </w:rPr>
        <w:t>oà</w:t>
      </w:r>
      <w:r w:rsidRPr="009146D0">
        <w:rPr>
          <w:rFonts w:ascii="Times New Roman" w:hAnsi="Times New Roman" w:cs="Times New Roman"/>
          <w:spacing w:val="-2"/>
        </w:rPr>
        <w:t xml:space="preserve"> án cấp phúc thẩm trong việc thông báo cho đương sự, VKS cùng cấp biết về việc thay đổi, bổ sung, rút kháng cáo của người đã kháng cáo nhưng lại chưa quy định cụ thể về thời gian </w:t>
      </w:r>
      <w:r w:rsidR="00705439" w:rsidRPr="009146D0">
        <w:rPr>
          <w:rFonts w:ascii="Times New Roman" w:hAnsi="Times New Roman" w:cs="Times New Roman"/>
          <w:spacing w:val="-2"/>
        </w:rPr>
        <w:t>phải thông báo là trong bao lâu. Chính vì vậy, trên thực tế</w:t>
      </w:r>
      <w:r w:rsidR="00846633" w:rsidRPr="009146D0">
        <w:rPr>
          <w:rFonts w:ascii="Times New Roman" w:hAnsi="Times New Roman" w:cs="Times New Roman"/>
          <w:spacing w:val="-2"/>
        </w:rPr>
        <w:t xml:space="preserve"> có thể</w:t>
      </w:r>
      <w:r w:rsidR="00705439" w:rsidRPr="009146D0">
        <w:rPr>
          <w:rFonts w:ascii="Times New Roman" w:hAnsi="Times New Roman" w:cs="Times New Roman"/>
          <w:spacing w:val="-2"/>
        </w:rPr>
        <w:t xml:space="preserve"> xảy ra trường hợp mỗi </w:t>
      </w:r>
      <w:r w:rsidR="0006073F" w:rsidRPr="009146D0">
        <w:rPr>
          <w:rFonts w:ascii="Times New Roman" w:hAnsi="Times New Roman" w:cs="Times New Roman"/>
          <w:spacing w:val="-2"/>
        </w:rPr>
        <w:t>t</w:t>
      </w:r>
      <w:r w:rsidR="008540FE" w:rsidRPr="009146D0">
        <w:rPr>
          <w:rFonts w:ascii="Times New Roman" w:hAnsi="Times New Roman" w:cs="Times New Roman"/>
          <w:spacing w:val="-2"/>
        </w:rPr>
        <w:t>oà</w:t>
      </w:r>
      <w:r w:rsidR="00705439" w:rsidRPr="009146D0">
        <w:rPr>
          <w:rFonts w:ascii="Times New Roman" w:hAnsi="Times New Roman" w:cs="Times New Roman"/>
          <w:spacing w:val="-2"/>
        </w:rPr>
        <w:t xml:space="preserve"> sẽ gửi </w:t>
      </w:r>
      <w:r w:rsidR="00FB1589" w:rsidRPr="009146D0">
        <w:rPr>
          <w:rFonts w:ascii="Times New Roman" w:hAnsi="Times New Roman" w:cs="Times New Roman"/>
          <w:spacing w:val="-2"/>
        </w:rPr>
        <w:t>thông báo về việc thay đổi, bổ sung, rút kháng cáo ở những mốc thời gian khác nhau</w:t>
      </w:r>
      <w:r w:rsidR="006A7B9C" w:rsidRPr="009146D0">
        <w:rPr>
          <w:rFonts w:ascii="Times New Roman" w:hAnsi="Times New Roman" w:cs="Times New Roman"/>
          <w:spacing w:val="-2"/>
        </w:rPr>
        <w:t xml:space="preserve">, không có sự thống nhất. Do vậy, Luật TTHC cần bổ sung cụ thể về khoảng thời gian mà </w:t>
      </w:r>
      <w:r w:rsidR="0006073F" w:rsidRPr="009146D0">
        <w:rPr>
          <w:rFonts w:ascii="Times New Roman" w:hAnsi="Times New Roman" w:cs="Times New Roman"/>
          <w:spacing w:val="-2"/>
        </w:rPr>
        <w:t>t</w:t>
      </w:r>
      <w:r w:rsidR="008540FE" w:rsidRPr="009146D0">
        <w:rPr>
          <w:rFonts w:ascii="Times New Roman" w:hAnsi="Times New Roman" w:cs="Times New Roman"/>
          <w:spacing w:val="-2"/>
        </w:rPr>
        <w:t>oà</w:t>
      </w:r>
      <w:r w:rsidR="006A7B9C" w:rsidRPr="009146D0">
        <w:rPr>
          <w:rFonts w:ascii="Times New Roman" w:hAnsi="Times New Roman" w:cs="Times New Roman"/>
          <w:spacing w:val="-2"/>
        </w:rPr>
        <w:t xml:space="preserve"> án cấp phúc thẩm phải gửi thông báo về việc thay đổi, bổ sung, rút kháng cáo của đương sự. Bổ sung như vậy mới bảo đảm việc triển khai áp</w:t>
      </w:r>
      <w:r w:rsidR="006A7B9C" w:rsidRPr="009146D0">
        <w:rPr>
          <w:rFonts w:ascii="Times New Roman" w:hAnsi="Times New Roman" w:cs="Times New Roman"/>
        </w:rPr>
        <w:t xml:space="preserve"> dụng pháp luật được thống nhất, </w:t>
      </w:r>
      <w:r w:rsidR="006A7B9C" w:rsidRPr="009146D0">
        <w:rPr>
          <w:rFonts w:ascii="Times New Roman" w:hAnsi="Times New Roman" w:cs="Times New Roman"/>
          <w:spacing w:val="10"/>
        </w:rPr>
        <w:t>loại trừ trường hợp gửi thông báo quá trễ</w:t>
      </w:r>
      <w:r w:rsidR="006A7B9C" w:rsidRPr="009146D0">
        <w:rPr>
          <w:rFonts w:ascii="Times New Roman" w:hAnsi="Times New Roman" w:cs="Times New Roman"/>
        </w:rPr>
        <w:t xml:space="preserve"> </w:t>
      </w:r>
    </w:p>
    <w:p w:rsidR="00ED2740" w:rsidRPr="009146D0" w:rsidRDefault="00ED2740" w:rsidP="00ED2740">
      <w:pPr>
        <w:widowControl w:val="0"/>
        <w:ind w:firstLine="369"/>
        <w:jc w:val="right"/>
        <w:rPr>
          <w:rFonts w:ascii="Times New Roman" w:hAnsi="Times New Roman" w:cs="Times New Roman"/>
          <w:lang w:val="nl-NL"/>
        </w:rPr>
      </w:pPr>
      <w:r w:rsidRPr="009146D0">
        <w:rPr>
          <w:rFonts w:ascii="Times New Roman" w:hAnsi="Times New Roman" w:cs="Times New Roman"/>
          <w:sz w:val="2"/>
          <w:szCs w:val="2"/>
        </w:rPr>
        <w:br/>
      </w:r>
      <w:r w:rsidRPr="009146D0">
        <w:rPr>
          <w:rFonts w:ascii="Times New Roman" w:hAnsi="Times New Roman" w:cs="Times New Roman"/>
          <w:b/>
          <w:i/>
          <w:lang w:val="nl-NL"/>
        </w:rPr>
        <w:t>(Xem tiếp trang 92)</w:t>
      </w:r>
    </w:p>
    <w:sectPr w:rsidR="00ED2740" w:rsidRPr="009146D0" w:rsidSect="00912545">
      <w:type w:val="continuous"/>
      <w:pgSz w:w="10773" w:h="15309" w:code="9"/>
      <w:pgMar w:top="1474" w:right="851" w:bottom="1474" w:left="851" w:header="907" w:footer="907" w:gutter="0"/>
      <w:pgNumType w:start="27"/>
      <w:cols w:num="2" w:space="36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7C08A" w15:done="0"/>
  <w15:commentEx w15:paraId="4BC8F85D" w15:done="0"/>
  <w15:commentEx w15:paraId="705F09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6EDC" w16cex:dateUtc="2022-09-18T03:18:00Z"/>
  <w16cex:commentExtensible w16cex:durableId="26D16EFB" w16cex:dateUtc="2022-09-18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4894C" w16cid:durableId="26D00443"/>
  <w16cid:commentId w16cid:paraId="53FD680B" w16cid:durableId="26D00444"/>
  <w16cid:commentId w16cid:paraId="318340C8" w16cid:durableId="26D00445"/>
  <w16cid:commentId w16cid:paraId="120A2055" w16cid:durableId="26D00446"/>
  <w16cid:commentId w16cid:paraId="17378633" w16cid:durableId="26D00447"/>
  <w16cid:commentId w16cid:paraId="2106406B" w16cid:durableId="26D00448"/>
  <w16cid:commentId w16cid:paraId="40C85B30" w16cid:durableId="26D00449"/>
  <w16cid:commentId w16cid:paraId="7947C08A" w16cid:durableId="26D0044A"/>
  <w16cid:commentId w16cid:paraId="71C3A082" w16cid:durableId="26D0044B"/>
  <w16cid:commentId w16cid:paraId="3302CDC3" w16cid:durableId="26D0044C"/>
  <w16cid:commentId w16cid:paraId="4BC8F85D" w16cid:durableId="26D16EDC"/>
  <w16cid:commentId w16cid:paraId="1E77B249" w16cid:durableId="26D0044D"/>
  <w16cid:commentId w16cid:paraId="705F09A0" w16cid:durableId="26D16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96" w:rsidRDefault="00571E96" w:rsidP="00467BA0">
      <w:r>
        <w:separator/>
      </w:r>
    </w:p>
  </w:endnote>
  <w:endnote w:type="continuationSeparator" w:id="0">
    <w:p w:rsidR="00571E96" w:rsidRDefault="00571E96" w:rsidP="004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UTM Neo Sans Intel">
    <w:panose1 w:val="02040603050506020204"/>
    <w:charset w:val="00"/>
    <w:family w:val="roman"/>
    <w:pitch w:val="variable"/>
    <w:sig w:usb0="00000007" w:usb1="00000000" w:usb2="00000000" w:usb3="00000000" w:csb0="00000003"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1" w:rsidRPr="006C2361" w:rsidRDefault="006C2361" w:rsidP="006C2361">
    <w:pPr>
      <w:framePr w:wrap="around" w:vAnchor="text" w:hAnchor="margin" w:xAlign="outside" w:y="1"/>
      <w:tabs>
        <w:tab w:val="center" w:pos="4680"/>
        <w:tab w:val="right" w:pos="9360"/>
      </w:tabs>
      <w:rPr>
        <w:rFonts w:ascii="Times New Roman" w:hAnsi="Times New Roman" w:cs="Times New Roman"/>
        <w:lang w:eastAsia="zh-CN"/>
      </w:rPr>
    </w:pPr>
    <w:r w:rsidRPr="006C2361">
      <w:rPr>
        <w:rFonts w:ascii="Times New Roman" w:hAnsi="Times New Roman" w:cs="Times New Roman"/>
        <w:lang w:eastAsia="zh-CN"/>
      </w:rPr>
      <w:fldChar w:fldCharType="begin"/>
    </w:r>
    <w:r w:rsidRPr="006C2361">
      <w:rPr>
        <w:rFonts w:ascii="Times New Roman" w:hAnsi="Times New Roman" w:cs="Times New Roman"/>
        <w:lang w:eastAsia="zh-CN"/>
      </w:rPr>
      <w:instrText xml:space="preserve">PAGE  </w:instrText>
    </w:r>
    <w:r w:rsidRPr="006C2361">
      <w:rPr>
        <w:rFonts w:ascii="Times New Roman" w:hAnsi="Times New Roman" w:cs="Times New Roman"/>
        <w:lang w:eastAsia="zh-CN"/>
      </w:rPr>
      <w:fldChar w:fldCharType="separate"/>
    </w:r>
    <w:r w:rsidR="00995FC0">
      <w:rPr>
        <w:rFonts w:ascii="Times New Roman" w:hAnsi="Times New Roman" w:cs="Times New Roman"/>
        <w:noProof/>
        <w:lang w:eastAsia="zh-CN"/>
      </w:rPr>
      <w:t>28</w:t>
    </w:r>
    <w:r w:rsidRPr="006C2361">
      <w:rPr>
        <w:rFonts w:ascii="Times New Roman" w:hAnsi="Times New Roman" w:cs="Times New Roman"/>
        <w:lang w:eastAsia="zh-CN"/>
      </w:rPr>
      <w:fldChar w:fldCharType="end"/>
    </w:r>
  </w:p>
  <w:p w:rsidR="00835E05" w:rsidRPr="00912545" w:rsidRDefault="00C31A84" w:rsidP="00912545">
    <w:pPr>
      <w:pStyle w:val="Footer"/>
      <w:jc w:val="right"/>
      <w:rPr>
        <w:rFonts w:ascii="Times New Roman" w:hAnsi="Times New Roman" w:cs="Times New Roman"/>
        <w:sz w:val="22"/>
        <w:szCs w:val="22"/>
      </w:rPr>
    </w:pPr>
    <w:r>
      <w:rPr>
        <w:rFonts w:ascii="Times New Roman" w:eastAsia="Times New Roman" w:hAnsi="Times New Roman" w:cs="Times New Roman"/>
        <w:sz w:val="22"/>
        <w:szCs w:val="22"/>
      </w:rPr>
      <w:t>TẠP CHÍ LUẬT HỌC SỐ 9</w:t>
    </w:r>
    <w:r w:rsidR="00912545" w:rsidRPr="006C2361">
      <w:rPr>
        <w:rFonts w:ascii="Times New Roman" w:eastAsia="Times New Roman" w:hAnsi="Times New Roman" w:cs="Times New Roman"/>
        <w:sz w:val="22"/>
        <w:szCs w:val="22"/>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1" w:rsidRPr="006C2361" w:rsidRDefault="006C2361" w:rsidP="006C2361">
    <w:pPr>
      <w:framePr w:wrap="around" w:vAnchor="text" w:hAnchor="margin" w:xAlign="outside" w:y="1"/>
      <w:tabs>
        <w:tab w:val="center" w:pos="4680"/>
        <w:tab w:val="right" w:pos="9360"/>
      </w:tabs>
      <w:rPr>
        <w:rFonts w:ascii="Times New Roman" w:hAnsi="Times New Roman" w:cs="Times New Roman"/>
        <w:lang w:eastAsia="zh-CN"/>
      </w:rPr>
    </w:pPr>
    <w:r w:rsidRPr="006C2361">
      <w:rPr>
        <w:rFonts w:ascii="Times New Roman" w:hAnsi="Times New Roman" w:cs="Times New Roman"/>
        <w:lang w:eastAsia="zh-CN"/>
      </w:rPr>
      <w:fldChar w:fldCharType="begin"/>
    </w:r>
    <w:r w:rsidRPr="006C2361">
      <w:rPr>
        <w:rFonts w:ascii="Times New Roman" w:hAnsi="Times New Roman" w:cs="Times New Roman"/>
        <w:lang w:eastAsia="zh-CN"/>
      </w:rPr>
      <w:instrText xml:space="preserve">PAGE  </w:instrText>
    </w:r>
    <w:r w:rsidRPr="006C2361">
      <w:rPr>
        <w:rFonts w:ascii="Times New Roman" w:hAnsi="Times New Roman" w:cs="Times New Roman"/>
        <w:lang w:eastAsia="zh-CN"/>
      </w:rPr>
      <w:fldChar w:fldCharType="separate"/>
    </w:r>
    <w:r w:rsidR="00995FC0">
      <w:rPr>
        <w:rFonts w:ascii="Times New Roman" w:hAnsi="Times New Roman" w:cs="Times New Roman"/>
        <w:noProof/>
        <w:lang w:eastAsia="zh-CN"/>
      </w:rPr>
      <w:t>27</w:t>
    </w:r>
    <w:r w:rsidRPr="006C2361">
      <w:rPr>
        <w:rFonts w:ascii="Times New Roman" w:hAnsi="Times New Roman" w:cs="Times New Roman"/>
        <w:lang w:eastAsia="zh-CN"/>
      </w:rPr>
      <w:fldChar w:fldCharType="end"/>
    </w:r>
  </w:p>
  <w:p w:rsidR="00835E05" w:rsidRPr="006C2361" w:rsidRDefault="00C31A84" w:rsidP="00912545">
    <w:pPr>
      <w:pStyle w:val="Footer"/>
      <w:tabs>
        <w:tab w:val="clear" w:pos="4320"/>
        <w:tab w:val="clear" w:pos="8640"/>
        <w:tab w:val="right" w:pos="9071"/>
      </w:tabs>
      <w:rPr>
        <w:rFonts w:ascii="Times New Roman" w:hAnsi="Times New Roman" w:cs="Times New Roman"/>
        <w:sz w:val="22"/>
        <w:szCs w:val="22"/>
      </w:rPr>
    </w:pPr>
    <w:r>
      <w:rPr>
        <w:rFonts w:ascii="Times New Roman" w:eastAsia="Times New Roman" w:hAnsi="Times New Roman" w:cs="Times New Roman"/>
        <w:sz w:val="22"/>
        <w:szCs w:val="22"/>
      </w:rPr>
      <w:t>TẠP CHÍ LUẬT HỌC SỐ 9</w:t>
    </w:r>
    <w:r w:rsidR="006C2361" w:rsidRPr="006C2361">
      <w:rPr>
        <w:rFonts w:ascii="Times New Roman" w:eastAsia="Times New Roman" w:hAnsi="Times New Roman" w:cs="Times New Roman"/>
        <w:sz w:val="22"/>
        <w:szCs w:val="22"/>
      </w:rPr>
      <w:t>/2022</w:t>
    </w:r>
    <w:r w:rsidR="00912545">
      <w:rPr>
        <w:rFonts w:ascii="Times New Roman" w:eastAsia="Times New Roman" w:hAnsi="Times New Roman" w:cs="Times New Roman"/>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46835"/>
      <w:docPartObj>
        <w:docPartGallery w:val="Page Numbers (Bottom of Page)"/>
        <w:docPartUnique/>
      </w:docPartObj>
    </w:sdtPr>
    <w:sdtEndPr>
      <w:rPr>
        <w:rFonts w:ascii="Times New Roman" w:hAnsi="Times New Roman" w:cs="Times New Roman"/>
        <w:noProof/>
      </w:rPr>
    </w:sdtEndPr>
    <w:sdtContent>
      <w:p w:rsidR="00835E05" w:rsidRPr="00F025DB" w:rsidRDefault="00835E05">
        <w:pPr>
          <w:pStyle w:val="Footer"/>
          <w:jc w:val="right"/>
          <w:rPr>
            <w:rFonts w:ascii="Times New Roman" w:hAnsi="Times New Roman" w:cs="Times New Roman"/>
          </w:rPr>
        </w:pPr>
        <w:r w:rsidRPr="00F025DB">
          <w:rPr>
            <w:rFonts w:ascii="Times New Roman" w:hAnsi="Times New Roman" w:cs="Times New Roman"/>
          </w:rPr>
          <w:fldChar w:fldCharType="begin"/>
        </w:r>
        <w:r w:rsidRPr="00F025DB">
          <w:rPr>
            <w:rFonts w:ascii="Times New Roman" w:hAnsi="Times New Roman" w:cs="Times New Roman"/>
          </w:rPr>
          <w:instrText xml:space="preserve"> PAGE   \* MERGEFORMAT </w:instrText>
        </w:r>
        <w:r w:rsidRPr="00F025DB">
          <w:rPr>
            <w:rFonts w:ascii="Times New Roman" w:hAnsi="Times New Roman" w:cs="Times New Roman"/>
          </w:rPr>
          <w:fldChar w:fldCharType="separate"/>
        </w:r>
        <w:r>
          <w:rPr>
            <w:rFonts w:ascii="Times New Roman" w:hAnsi="Times New Roman" w:cs="Times New Roman"/>
            <w:noProof/>
          </w:rPr>
          <w:t>1</w:t>
        </w:r>
        <w:r w:rsidRPr="00F025D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96" w:rsidRDefault="00571E96" w:rsidP="00467BA0">
      <w:r>
        <w:separator/>
      </w:r>
    </w:p>
  </w:footnote>
  <w:footnote w:type="continuationSeparator" w:id="0">
    <w:p w:rsidR="00571E96" w:rsidRDefault="00571E96" w:rsidP="00467BA0">
      <w:r>
        <w:continuationSeparator/>
      </w:r>
    </w:p>
  </w:footnote>
  <w:footnote w:id="1">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rPr>
        <w:t xml:space="preserve"> </w:t>
      </w:r>
      <w:r w:rsidR="00912545" w:rsidRPr="009146D0">
        <w:rPr>
          <w:rFonts w:ascii="Times New Roman" w:hAnsi="Times New Roman" w:cs="Times New Roman"/>
          <w:sz w:val="20"/>
          <w:szCs w:val="20"/>
        </w:rPr>
        <w:tab/>
      </w:r>
      <w:r w:rsidRPr="009146D0">
        <w:rPr>
          <w:rFonts w:ascii="Times New Roman" w:hAnsi="Times New Roman" w:cs="Times New Roman"/>
          <w:sz w:val="20"/>
          <w:szCs w:val="20"/>
          <w:lang w:val="vi-VN"/>
        </w:rPr>
        <w:t>Điều 204 Luật TTHC</w:t>
      </w:r>
      <w:r w:rsidRPr="009146D0">
        <w:rPr>
          <w:rFonts w:ascii="Times New Roman" w:hAnsi="Times New Roman" w:cs="Times New Roman"/>
          <w:sz w:val="20"/>
          <w:szCs w:val="20"/>
        </w:rPr>
        <w:t>.</w:t>
      </w:r>
    </w:p>
  </w:footnote>
  <w:footnote w:id="2">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rPr>
        <w:t xml:space="preserve"> </w:t>
      </w:r>
      <w:r w:rsidR="00912545" w:rsidRPr="009146D0">
        <w:rPr>
          <w:rFonts w:ascii="Times New Roman" w:hAnsi="Times New Roman" w:cs="Times New Roman"/>
          <w:sz w:val="20"/>
          <w:szCs w:val="20"/>
        </w:rPr>
        <w:tab/>
      </w:r>
      <w:r w:rsidRPr="009146D0">
        <w:rPr>
          <w:rFonts w:ascii="Times New Roman" w:hAnsi="Times New Roman" w:cs="Times New Roman"/>
          <w:spacing w:val="-4"/>
          <w:sz w:val="20"/>
          <w:szCs w:val="20"/>
          <w:lang w:val="vi-VN"/>
        </w:rPr>
        <w:t>Nguyễn Văn Xô (chủ biên)</w:t>
      </w:r>
      <w:r w:rsidR="00912545" w:rsidRPr="009146D0">
        <w:rPr>
          <w:rFonts w:ascii="Times New Roman" w:hAnsi="Times New Roman" w:cs="Times New Roman"/>
          <w:spacing w:val="-4"/>
          <w:sz w:val="20"/>
          <w:szCs w:val="20"/>
        </w:rPr>
        <w:t xml:space="preserve"> (2008)</w:t>
      </w:r>
      <w:r w:rsidRPr="009146D0">
        <w:rPr>
          <w:rFonts w:ascii="Times New Roman" w:hAnsi="Times New Roman" w:cs="Times New Roman"/>
          <w:spacing w:val="-4"/>
          <w:sz w:val="20"/>
          <w:szCs w:val="20"/>
          <w:lang w:val="vi-VN"/>
        </w:rPr>
        <w:t xml:space="preserve">, </w:t>
      </w:r>
      <w:r w:rsidRPr="009146D0">
        <w:rPr>
          <w:rFonts w:ascii="Times New Roman" w:hAnsi="Times New Roman" w:cs="Times New Roman"/>
          <w:i/>
          <w:spacing w:val="-4"/>
          <w:sz w:val="20"/>
          <w:szCs w:val="20"/>
          <w:lang w:val="vi-VN"/>
        </w:rPr>
        <w:t xml:space="preserve">Từ điển tiếng </w:t>
      </w:r>
      <w:r w:rsidRPr="009146D0">
        <w:rPr>
          <w:rFonts w:ascii="Times New Roman" w:hAnsi="Times New Roman" w:cs="Times New Roman"/>
          <w:i/>
          <w:spacing w:val="-4"/>
          <w:sz w:val="20"/>
          <w:szCs w:val="20"/>
        </w:rPr>
        <w:t>V</w:t>
      </w:r>
      <w:r w:rsidRPr="009146D0">
        <w:rPr>
          <w:rFonts w:ascii="Times New Roman" w:hAnsi="Times New Roman" w:cs="Times New Roman"/>
          <w:i/>
          <w:spacing w:val="-4"/>
          <w:sz w:val="20"/>
          <w:szCs w:val="20"/>
          <w:lang w:val="vi-VN"/>
        </w:rPr>
        <w:t>iệt</w:t>
      </w:r>
      <w:r w:rsidRPr="009146D0">
        <w:rPr>
          <w:rFonts w:ascii="Times New Roman" w:hAnsi="Times New Roman" w:cs="Times New Roman"/>
          <w:sz w:val="20"/>
          <w:szCs w:val="20"/>
          <w:lang w:val="vi-VN"/>
        </w:rPr>
        <w:t>,</w:t>
      </w:r>
      <w:r w:rsidRPr="009146D0">
        <w:rPr>
          <w:rFonts w:ascii="Times New Roman" w:hAnsi="Times New Roman" w:cs="Times New Roman"/>
          <w:sz w:val="20"/>
          <w:szCs w:val="20"/>
        </w:rPr>
        <w:t xml:space="preserve"> Nxb.</w:t>
      </w:r>
      <w:r w:rsidRPr="009146D0">
        <w:rPr>
          <w:rFonts w:ascii="Times New Roman" w:hAnsi="Times New Roman" w:cs="Times New Roman"/>
          <w:sz w:val="20"/>
          <w:szCs w:val="20"/>
          <w:lang w:val="vi-VN"/>
        </w:rPr>
        <w:t xml:space="preserve"> Thanh niên tr. 662</w:t>
      </w:r>
      <w:r w:rsidR="003E0CBA" w:rsidRPr="009146D0">
        <w:rPr>
          <w:rFonts w:ascii="Times New Roman" w:hAnsi="Times New Roman" w:cs="Times New Roman"/>
          <w:sz w:val="20"/>
          <w:szCs w:val="20"/>
          <w:lang w:val="vi-VN"/>
        </w:rPr>
        <w:t>.</w:t>
      </w:r>
    </w:p>
  </w:footnote>
  <w:footnote w:id="3">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hAnsi="Times New Roman" w:cs="Times New Roman"/>
          <w:sz w:val="20"/>
          <w:szCs w:val="20"/>
          <w:lang w:val="vi-VN"/>
        </w:rPr>
        <w:t>Nguyễn Văn Xô (chủ biên), sđd, tr. 61.</w:t>
      </w:r>
    </w:p>
  </w:footnote>
  <w:footnote w:id="4">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hAnsi="Times New Roman" w:cs="Times New Roman"/>
          <w:spacing w:val="-4"/>
          <w:sz w:val="20"/>
          <w:szCs w:val="20"/>
          <w:lang w:val="vi-VN"/>
        </w:rPr>
        <w:t>Viện Khoa học pháp lí</w:t>
      </w:r>
      <w:r w:rsidR="00912545" w:rsidRPr="009146D0">
        <w:rPr>
          <w:rFonts w:ascii="Times New Roman" w:hAnsi="Times New Roman" w:cs="Times New Roman"/>
          <w:spacing w:val="-4"/>
          <w:sz w:val="20"/>
          <w:szCs w:val="20"/>
          <w:lang w:val="vi-VN"/>
        </w:rPr>
        <w:t xml:space="preserve"> (2006)</w:t>
      </w:r>
      <w:r w:rsidRPr="009146D0">
        <w:rPr>
          <w:rFonts w:ascii="Times New Roman" w:hAnsi="Times New Roman" w:cs="Times New Roman"/>
          <w:spacing w:val="-4"/>
          <w:sz w:val="20"/>
          <w:szCs w:val="20"/>
          <w:lang w:val="vi-VN"/>
        </w:rPr>
        <w:t xml:space="preserve">, </w:t>
      </w:r>
      <w:r w:rsidRPr="009146D0">
        <w:rPr>
          <w:rFonts w:ascii="Times New Roman" w:hAnsi="Times New Roman" w:cs="Times New Roman"/>
          <w:i/>
          <w:spacing w:val="-4"/>
          <w:sz w:val="20"/>
          <w:szCs w:val="20"/>
          <w:lang w:val="vi-VN"/>
        </w:rPr>
        <w:t>Từ điển Luật học</w:t>
      </w:r>
      <w:r w:rsidRPr="009146D0">
        <w:rPr>
          <w:rFonts w:ascii="Times New Roman" w:hAnsi="Times New Roman" w:cs="Times New Roman"/>
          <w:spacing w:val="-4"/>
          <w:sz w:val="20"/>
          <w:szCs w:val="20"/>
          <w:lang w:val="vi-VN"/>
        </w:rPr>
        <w:t>,</w:t>
      </w:r>
      <w:r w:rsidRPr="009146D0">
        <w:rPr>
          <w:rFonts w:ascii="Times New Roman" w:hAnsi="Times New Roman" w:cs="Times New Roman"/>
          <w:sz w:val="20"/>
          <w:szCs w:val="20"/>
          <w:lang w:val="vi-VN"/>
        </w:rPr>
        <w:t xml:space="preserve"> Nxb. Tư pháp, tr. 721.</w:t>
      </w:r>
    </w:p>
  </w:footnote>
  <w:footnote w:id="5">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hAnsi="Times New Roman" w:cs="Times New Roman"/>
          <w:spacing w:val="-4"/>
          <w:sz w:val="20"/>
          <w:szCs w:val="20"/>
          <w:lang w:val="vi-VN"/>
        </w:rPr>
        <w:t>Luật TTHC năm 2010 không đề cập trường hợp</w:t>
      </w:r>
      <w:r w:rsidRPr="009146D0">
        <w:rPr>
          <w:rFonts w:ascii="Times New Roman" w:hAnsi="Times New Roman" w:cs="Times New Roman"/>
          <w:sz w:val="20"/>
          <w:szCs w:val="20"/>
          <w:lang w:val="vi-VN"/>
        </w:rPr>
        <w:t xml:space="preserve"> thay đổi, bổ sung kháng cáo được chấp nhận khi chưa hết thời hạn kháng cáo. </w:t>
      </w:r>
    </w:p>
  </w:footnote>
  <w:footnote w:id="6">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hAnsi="Times New Roman" w:cs="Times New Roman"/>
          <w:sz w:val="20"/>
          <w:szCs w:val="20"/>
          <w:lang w:val="vi-VN"/>
        </w:rPr>
        <w:t>Việ</w:t>
      </w:r>
      <w:r w:rsidR="00912545" w:rsidRPr="009146D0">
        <w:rPr>
          <w:rFonts w:ascii="Times New Roman" w:hAnsi="Times New Roman" w:cs="Times New Roman"/>
          <w:sz w:val="20"/>
          <w:szCs w:val="20"/>
          <w:lang w:val="vi-VN"/>
        </w:rPr>
        <w:t>n N</w:t>
      </w:r>
      <w:r w:rsidRPr="009146D0">
        <w:rPr>
          <w:rFonts w:ascii="Times New Roman" w:hAnsi="Times New Roman" w:cs="Times New Roman"/>
          <w:sz w:val="20"/>
          <w:szCs w:val="20"/>
          <w:lang w:val="vi-VN"/>
        </w:rPr>
        <w:t>gôn ngữ học</w:t>
      </w:r>
      <w:r w:rsidR="00912545" w:rsidRPr="009146D0">
        <w:rPr>
          <w:rFonts w:ascii="Times New Roman" w:hAnsi="Times New Roman" w:cs="Times New Roman"/>
          <w:sz w:val="20"/>
          <w:szCs w:val="20"/>
          <w:lang w:val="vi-VN"/>
        </w:rPr>
        <w:t xml:space="preserve"> (2002</w:t>
      </w:r>
      <w:r w:rsidR="006F071A" w:rsidRPr="009146D0">
        <w:rPr>
          <w:rFonts w:ascii="Times New Roman" w:hAnsi="Times New Roman" w:cs="Times New Roman"/>
          <w:sz w:val="20"/>
          <w:szCs w:val="20"/>
          <w:lang w:val="vi-VN"/>
        </w:rPr>
        <w:t>)</w:t>
      </w:r>
      <w:r w:rsidRPr="009146D0">
        <w:rPr>
          <w:rFonts w:ascii="Times New Roman" w:hAnsi="Times New Roman" w:cs="Times New Roman"/>
          <w:sz w:val="20"/>
          <w:szCs w:val="20"/>
          <w:lang w:val="vi-VN"/>
        </w:rPr>
        <w:t xml:space="preserve">, </w:t>
      </w:r>
      <w:r w:rsidRPr="009146D0">
        <w:rPr>
          <w:rFonts w:ascii="Times New Roman" w:hAnsi="Times New Roman" w:cs="Times New Roman"/>
          <w:i/>
          <w:iCs/>
          <w:sz w:val="20"/>
          <w:szCs w:val="20"/>
          <w:lang w:val="vi-VN"/>
        </w:rPr>
        <w:t xml:space="preserve">Từ điển tiếng Việt </w:t>
      </w:r>
      <w:r w:rsidRPr="009146D0">
        <w:rPr>
          <w:rFonts w:ascii="Times New Roman" w:hAnsi="Times New Roman" w:cs="Times New Roman"/>
          <w:i/>
          <w:iCs/>
          <w:spacing w:val="-6"/>
          <w:sz w:val="20"/>
          <w:szCs w:val="20"/>
          <w:lang w:val="vi-VN"/>
        </w:rPr>
        <w:t>phổ thông</w:t>
      </w:r>
      <w:r w:rsidRPr="009146D0">
        <w:rPr>
          <w:rFonts w:ascii="Times New Roman" w:hAnsi="Times New Roman" w:cs="Times New Roman"/>
          <w:spacing w:val="-6"/>
          <w:sz w:val="20"/>
          <w:szCs w:val="20"/>
          <w:lang w:val="vi-VN"/>
        </w:rPr>
        <w:t>, Nxb. Thành phố Hồ Chí Minh, tr. 767</w:t>
      </w:r>
      <w:r w:rsidRPr="009146D0">
        <w:rPr>
          <w:rFonts w:ascii="Times New Roman" w:hAnsi="Times New Roman" w:cs="Times New Roman"/>
          <w:sz w:val="20"/>
          <w:szCs w:val="20"/>
          <w:lang w:val="vi-VN"/>
        </w:rPr>
        <w:t>.</w:t>
      </w:r>
    </w:p>
  </w:footnote>
  <w:footnote w:id="7">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i/>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hAnsi="Times New Roman" w:cs="Times New Roman"/>
          <w:sz w:val="20"/>
          <w:szCs w:val="20"/>
          <w:lang w:val="vi-VN"/>
        </w:rPr>
        <w:t>Viện Khoa học pháp lí, sđd, tr. 724.</w:t>
      </w:r>
    </w:p>
  </w:footnote>
  <w:footnote w:id="8">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hAnsi="Times New Roman" w:cs="Times New Roman"/>
          <w:sz w:val="20"/>
          <w:szCs w:val="20"/>
          <w:lang w:val="vi-VN"/>
        </w:rPr>
        <w:t>Xem thêm Bản án hành chính phúc thẩ</w:t>
      </w:r>
      <w:r w:rsidR="006F071A" w:rsidRPr="009146D0">
        <w:rPr>
          <w:rFonts w:ascii="Times New Roman" w:hAnsi="Times New Roman" w:cs="Times New Roman"/>
          <w:sz w:val="20"/>
          <w:szCs w:val="20"/>
          <w:lang w:val="vi-VN"/>
        </w:rPr>
        <w:t>m</w:t>
      </w:r>
      <w:r w:rsidR="002973A2" w:rsidRPr="009146D0">
        <w:rPr>
          <w:rFonts w:ascii="Times New Roman" w:hAnsi="Times New Roman" w:cs="Times New Roman"/>
          <w:sz w:val="20"/>
          <w:szCs w:val="20"/>
          <w:lang w:val="vi-VN"/>
        </w:rPr>
        <w:t xml:space="preserve"> số</w:t>
      </w:r>
      <w:r w:rsidR="006F071A" w:rsidRPr="009146D0">
        <w:rPr>
          <w:rFonts w:ascii="Times New Roman" w:hAnsi="Times New Roman" w:cs="Times New Roman"/>
          <w:sz w:val="20"/>
          <w:szCs w:val="20"/>
          <w:lang w:val="vi-VN"/>
        </w:rPr>
        <w:t xml:space="preserve"> 148/2021/HC-</w:t>
      </w:r>
      <w:r w:rsidRPr="009146D0">
        <w:rPr>
          <w:rFonts w:ascii="Times New Roman" w:hAnsi="Times New Roman" w:cs="Times New Roman"/>
          <w:sz w:val="20"/>
          <w:szCs w:val="20"/>
          <w:lang w:val="vi-VN"/>
        </w:rPr>
        <w:t>PT ngày 28/6/2021 của TAND cấp cao Hà Nội.</w:t>
      </w:r>
    </w:p>
  </w:footnote>
  <w:footnote w:id="9">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hAnsi="Times New Roman" w:cs="Times New Roman"/>
          <w:spacing w:val="-2"/>
          <w:sz w:val="20"/>
          <w:szCs w:val="20"/>
          <w:lang w:val="vi-VN"/>
        </w:rPr>
        <w:t>Lê Thị Mơ</w:t>
      </w:r>
      <w:r w:rsidR="00912545" w:rsidRPr="009146D0">
        <w:rPr>
          <w:rFonts w:ascii="Times New Roman" w:hAnsi="Times New Roman" w:cs="Times New Roman"/>
          <w:spacing w:val="-2"/>
          <w:sz w:val="20"/>
          <w:szCs w:val="20"/>
          <w:lang w:val="vi-VN"/>
        </w:rPr>
        <w:t xml:space="preserve"> (2021)</w:t>
      </w:r>
      <w:r w:rsidRPr="009146D0">
        <w:rPr>
          <w:rFonts w:ascii="Times New Roman" w:hAnsi="Times New Roman" w:cs="Times New Roman"/>
          <w:spacing w:val="-2"/>
          <w:sz w:val="20"/>
          <w:szCs w:val="20"/>
          <w:lang w:val="vi-VN"/>
        </w:rPr>
        <w:t>, “Bất cập trong  quy định của</w:t>
      </w:r>
      <w:r w:rsidRPr="009146D0">
        <w:rPr>
          <w:rFonts w:ascii="Times New Roman" w:hAnsi="Times New Roman" w:cs="Times New Roman"/>
          <w:sz w:val="20"/>
          <w:szCs w:val="20"/>
          <w:lang w:val="vi-VN"/>
        </w:rPr>
        <w:t xml:space="preserve"> </w:t>
      </w:r>
      <w:r w:rsidRPr="009146D0">
        <w:rPr>
          <w:rFonts w:ascii="Times New Roman" w:hAnsi="Times New Roman" w:cs="Times New Roman"/>
          <w:spacing w:val="-2"/>
          <w:sz w:val="20"/>
          <w:szCs w:val="20"/>
          <w:lang w:val="vi-VN"/>
        </w:rPr>
        <w:t>Luật TTHC về  quyết định đình chỉ xét xử phúc</w:t>
      </w:r>
      <w:r w:rsidRPr="009146D0">
        <w:rPr>
          <w:rFonts w:ascii="Times New Roman" w:hAnsi="Times New Roman" w:cs="Times New Roman"/>
          <w:sz w:val="20"/>
          <w:szCs w:val="20"/>
          <w:lang w:val="vi-VN"/>
        </w:rPr>
        <w:t xml:space="preserve"> </w:t>
      </w:r>
      <w:r w:rsidRPr="009146D0">
        <w:rPr>
          <w:rFonts w:ascii="Times New Roman" w:hAnsi="Times New Roman" w:cs="Times New Roman"/>
          <w:spacing w:val="-4"/>
          <w:sz w:val="20"/>
          <w:szCs w:val="20"/>
          <w:lang w:val="vi-VN"/>
        </w:rPr>
        <w:t>thẩm vụ án hành chính và kiến nghị hoàn thiện</w:t>
      </w:r>
      <w:r w:rsidRPr="009146D0">
        <w:rPr>
          <w:rFonts w:ascii="Times New Roman" w:hAnsi="Times New Roman" w:cs="Times New Roman"/>
          <w:sz w:val="20"/>
          <w:szCs w:val="20"/>
          <w:lang w:val="vi-VN"/>
        </w:rPr>
        <w:t xml:space="preserve">”, </w:t>
      </w:r>
      <w:r w:rsidRPr="009146D0">
        <w:rPr>
          <w:rFonts w:ascii="Times New Roman" w:hAnsi="Times New Roman" w:cs="Times New Roman"/>
          <w:i/>
          <w:sz w:val="20"/>
          <w:szCs w:val="20"/>
          <w:lang w:val="vi-VN"/>
        </w:rPr>
        <w:t>Tạp chí Nhà nước và Pháp luật,</w:t>
      </w:r>
      <w:r w:rsidRPr="009146D0">
        <w:rPr>
          <w:rFonts w:ascii="Times New Roman" w:hAnsi="Times New Roman" w:cs="Times New Roman"/>
          <w:sz w:val="20"/>
          <w:szCs w:val="20"/>
          <w:lang w:val="vi-VN"/>
        </w:rPr>
        <w:t xml:space="preserve"> số 05, tr. 51.</w:t>
      </w:r>
    </w:p>
  </w:footnote>
  <w:footnote w:id="10">
    <w:p w:rsidR="00835E05" w:rsidRPr="009146D0" w:rsidRDefault="00835E05" w:rsidP="006F071A">
      <w:pPr>
        <w:widowControl w:val="0"/>
        <w:tabs>
          <w:tab w:val="left" w:pos="198"/>
          <w:tab w:val="left" w:pos="567"/>
        </w:tabs>
        <w:spacing w:line="257" w:lineRule="auto"/>
        <w:ind w:left="198" w:hanging="198"/>
        <w:jc w:val="both"/>
        <w:rPr>
          <w:rFonts w:ascii="Times New Roman" w:eastAsia="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912545" w:rsidRPr="009146D0">
        <w:rPr>
          <w:rFonts w:ascii="Times New Roman" w:hAnsi="Times New Roman" w:cs="Times New Roman"/>
          <w:sz w:val="20"/>
          <w:szCs w:val="20"/>
          <w:lang w:val="vi-VN"/>
        </w:rPr>
        <w:tab/>
      </w:r>
      <w:r w:rsidRPr="009146D0">
        <w:rPr>
          <w:rFonts w:ascii="Times New Roman" w:eastAsia="Times New Roman" w:hAnsi="Times New Roman" w:cs="Times New Roman"/>
          <w:iCs/>
          <w:spacing w:val="-6"/>
          <w:sz w:val="20"/>
          <w:szCs w:val="20"/>
          <w:lang w:val="vi-VN"/>
        </w:rPr>
        <w:t>Lê Thị Mơ, Trần Quốc Văn</w:t>
      </w:r>
      <w:r w:rsidR="005D4902" w:rsidRPr="009146D0">
        <w:rPr>
          <w:rFonts w:ascii="Times New Roman" w:eastAsia="Times New Roman" w:hAnsi="Times New Roman" w:cs="Times New Roman"/>
          <w:iCs/>
          <w:spacing w:val="-6"/>
          <w:sz w:val="20"/>
          <w:szCs w:val="20"/>
          <w:lang w:val="vi-VN"/>
        </w:rPr>
        <w:t xml:space="preserve"> (2022)</w:t>
      </w:r>
      <w:r w:rsidRPr="009146D0">
        <w:rPr>
          <w:rFonts w:ascii="Times New Roman" w:eastAsia="Times New Roman" w:hAnsi="Times New Roman" w:cs="Times New Roman"/>
          <w:iCs/>
          <w:spacing w:val="-6"/>
          <w:sz w:val="20"/>
          <w:szCs w:val="20"/>
          <w:lang w:val="vi-VN"/>
        </w:rPr>
        <w:t xml:space="preserve">, “Bàn về </w:t>
      </w:r>
      <w:r w:rsidRPr="009146D0">
        <w:rPr>
          <w:rFonts w:ascii="Times New Roman" w:hAnsi="Times New Roman" w:cs="Times New Roman"/>
          <w:spacing w:val="-6"/>
          <w:sz w:val="20"/>
          <w:szCs w:val="20"/>
          <w:lang w:val="vi-VN"/>
        </w:rPr>
        <w:t>thay</w:t>
      </w:r>
      <w:r w:rsidRPr="009146D0">
        <w:rPr>
          <w:rFonts w:ascii="Times New Roman" w:hAnsi="Times New Roman" w:cs="Times New Roman"/>
          <w:spacing w:val="-2"/>
          <w:sz w:val="20"/>
          <w:szCs w:val="20"/>
          <w:lang w:val="vi-VN"/>
        </w:rPr>
        <w:t xml:space="preserve"> đổi, bổ sung, rút kháng nghị của Viện kiểm sát </w:t>
      </w:r>
      <w:r w:rsidRPr="009146D0">
        <w:rPr>
          <w:rFonts w:ascii="Times New Roman" w:hAnsi="Times New Roman" w:cs="Times New Roman"/>
          <w:spacing w:val="2"/>
          <w:sz w:val="20"/>
          <w:szCs w:val="20"/>
          <w:lang w:val="vi-VN"/>
        </w:rPr>
        <w:t>theo thủ tục phúc thẩm vụ án hành chính”,</w:t>
      </w:r>
      <w:r w:rsidRPr="009146D0">
        <w:rPr>
          <w:rFonts w:ascii="Times New Roman" w:hAnsi="Times New Roman" w:cs="Times New Roman"/>
          <w:sz w:val="20"/>
          <w:szCs w:val="20"/>
          <w:lang w:val="vi-VN"/>
        </w:rPr>
        <w:t xml:space="preserve"> </w:t>
      </w:r>
      <w:r w:rsidRPr="009146D0">
        <w:rPr>
          <w:rFonts w:ascii="Times New Roman" w:hAnsi="Times New Roman" w:cs="Times New Roman"/>
          <w:i/>
          <w:sz w:val="20"/>
          <w:szCs w:val="20"/>
          <w:lang w:val="vi-VN"/>
        </w:rPr>
        <w:t>Tạp chí Kiểm sát</w:t>
      </w:r>
      <w:r w:rsidRPr="009146D0">
        <w:rPr>
          <w:rFonts w:ascii="Times New Roman" w:hAnsi="Times New Roman" w:cs="Times New Roman"/>
          <w:sz w:val="20"/>
          <w:szCs w:val="20"/>
          <w:lang w:val="vi-VN"/>
        </w:rPr>
        <w:t>, số 03, tr. 52.</w:t>
      </w:r>
    </w:p>
  </w:footnote>
  <w:footnote w:id="11">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5D4902" w:rsidRPr="009146D0">
        <w:rPr>
          <w:rFonts w:ascii="Times New Roman" w:hAnsi="Times New Roman" w:cs="Times New Roman"/>
          <w:sz w:val="20"/>
          <w:szCs w:val="20"/>
          <w:lang w:val="vi-VN"/>
        </w:rPr>
        <w:tab/>
      </w:r>
      <w:r w:rsidRPr="009146D0">
        <w:rPr>
          <w:rFonts w:ascii="Times New Roman" w:hAnsi="Times New Roman" w:cs="Times New Roman"/>
          <w:spacing w:val="-4"/>
          <w:sz w:val="20"/>
          <w:szCs w:val="20"/>
          <w:lang w:val="vi-VN"/>
        </w:rPr>
        <w:t>Nguyễn Thị Thu Hà</w:t>
      </w:r>
      <w:r w:rsidR="005D4902" w:rsidRPr="009146D0">
        <w:rPr>
          <w:rFonts w:ascii="Times New Roman" w:hAnsi="Times New Roman" w:cs="Times New Roman"/>
          <w:spacing w:val="-4"/>
          <w:sz w:val="20"/>
          <w:szCs w:val="20"/>
          <w:lang w:val="vi-VN"/>
        </w:rPr>
        <w:t xml:space="preserve"> (2016)</w:t>
      </w:r>
      <w:r w:rsidRPr="009146D0">
        <w:rPr>
          <w:rFonts w:ascii="Times New Roman" w:hAnsi="Times New Roman" w:cs="Times New Roman"/>
          <w:spacing w:val="-4"/>
          <w:sz w:val="20"/>
          <w:szCs w:val="20"/>
          <w:lang w:val="vi-VN"/>
        </w:rPr>
        <w:t>, “Những sửa đổi, bổ sung</w:t>
      </w:r>
      <w:r w:rsidRPr="009146D0">
        <w:rPr>
          <w:rFonts w:ascii="Times New Roman" w:hAnsi="Times New Roman" w:cs="Times New Roman"/>
          <w:sz w:val="20"/>
          <w:szCs w:val="20"/>
          <w:lang w:val="vi-VN"/>
        </w:rPr>
        <w:t xml:space="preserve"> </w:t>
      </w:r>
      <w:r w:rsidRPr="009146D0">
        <w:rPr>
          <w:rFonts w:ascii="Times New Roman" w:hAnsi="Times New Roman" w:cs="Times New Roman"/>
          <w:spacing w:val="-4"/>
          <w:sz w:val="20"/>
          <w:szCs w:val="20"/>
          <w:lang w:val="vi-VN"/>
        </w:rPr>
        <w:t>kháng cáo, kháng nghị theo thủ tục phúc thẩm trong</w:t>
      </w:r>
      <w:r w:rsidRPr="009146D0">
        <w:rPr>
          <w:rFonts w:ascii="Times New Roman" w:hAnsi="Times New Roman" w:cs="Times New Roman"/>
          <w:sz w:val="20"/>
          <w:szCs w:val="20"/>
          <w:lang w:val="vi-VN"/>
        </w:rPr>
        <w:t xml:space="preserve"> Bộ luật Tố tụng dân sự 2015”,</w:t>
      </w:r>
      <w:r w:rsidRPr="009146D0">
        <w:rPr>
          <w:rFonts w:ascii="Times New Roman" w:hAnsi="Times New Roman" w:cs="Times New Roman"/>
          <w:i/>
          <w:sz w:val="20"/>
          <w:szCs w:val="20"/>
          <w:lang w:val="vi-VN"/>
        </w:rPr>
        <w:t xml:space="preserve"> Tạp chí Nhà nước và pháp luật,</w:t>
      </w:r>
      <w:r w:rsidRPr="009146D0">
        <w:rPr>
          <w:rFonts w:ascii="Times New Roman" w:hAnsi="Times New Roman" w:cs="Times New Roman"/>
          <w:sz w:val="20"/>
          <w:szCs w:val="20"/>
          <w:lang w:val="vi-VN"/>
        </w:rPr>
        <w:t xml:space="preserve"> số</w:t>
      </w:r>
      <w:r w:rsidR="005D4902" w:rsidRPr="009146D0">
        <w:rPr>
          <w:rFonts w:ascii="Times New Roman" w:hAnsi="Times New Roman" w:cs="Times New Roman"/>
          <w:sz w:val="20"/>
          <w:szCs w:val="20"/>
          <w:lang w:val="vi-VN"/>
        </w:rPr>
        <w:t xml:space="preserve"> 06,</w:t>
      </w:r>
      <w:r w:rsidRPr="009146D0">
        <w:rPr>
          <w:rFonts w:ascii="Times New Roman" w:hAnsi="Times New Roman" w:cs="Times New Roman"/>
          <w:sz w:val="20"/>
          <w:szCs w:val="20"/>
          <w:lang w:val="vi-VN"/>
        </w:rPr>
        <w:t xml:space="preserve"> tr. 53.</w:t>
      </w:r>
    </w:p>
  </w:footnote>
  <w:footnote w:id="12">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Pr="009146D0">
        <w:rPr>
          <w:rFonts w:ascii="Times New Roman" w:hAnsi="Times New Roman" w:cs="Times New Roman"/>
          <w:sz w:val="20"/>
          <w:szCs w:val="20"/>
          <w:lang w:val="vi-VN"/>
        </w:rPr>
        <w:t xml:space="preserve"> </w:t>
      </w:r>
      <w:r w:rsidR="005D4902" w:rsidRPr="009146D0">
        <w:rPr>
          <w:rFonts w:ascii="Times New Roman" w:hAnsi="Times New Roman" w:cs="Times New Roman"/>
          <w:sz w:val="20"/>
          <w:szCs w:val="20"/>
          <w:lang w:val="vi-VN"/>
        </w:rPr>
        <w:tab/>
      </w:r>
      <w:r w:rsidRPr="009146D0">
        <w:rPr>
          <w:rFonts w:ascii="Times New Roman" w:hAnsi="Times New Roman" w:cs="Times New Roman"/>
          <w:spacing w:val="-6"/>
          <w:sz w:val="20"/>
          <w:szCs w:val="20"/>
          <w:lang w:val="vi-VN"/>
        </w:rPr>
        <w:t>Tác giả nghiên cứu các 4 bản án phúc thẩm của TAND</w:t>
      </w:r>
      <w:r w:rsidRPr="009146D0">
        <w:rPr>
          <w:rFonts w:ascii="Times New Roman" w:hAnsi="Times New Roman" w:cs="Times New Roman"/>
          <w:sz w:val="20"/>
          <w:szCs w:val="20"/>
          <w:lang w:val="vi-VN"/>
        </w:rPr>
        <w:t xml:space="preserve"> cấp cao có thể hiện việc thay đổi, bổ sung kháng cáo gồm: Bản án số</w:t>
      </w:r>
      <w:r w:rsidR="005D4902" w:rsidRPr="009146D0">
        <w:rPr>
          <w:rFonts w:ascii="Times New Roman" w:hAnsi="Times New Roman" w:cs="Times New Roman"/>
          <w:sz w:val="20"/>
          <w:szCs w:val="20"/>
          <w:lang w:val="vi-VN"/>
        </w:rPr>
        <w:t xml:space="preserve"> 328/2021/HC-</w:t>
      </w:r>
      <w:r w:rsidRPr="009146D0">
        <w:rPr>
          <w:rFonts w:ascii="Times New Roman" w:hAnsi="Times New Roman" w:cs="Times New Roman"/>
          <w:sz w:val="20"/>
          <w:szCs w:val="20"/>
          <w:lang w:val="vi-VN"/>
        </w:rPr>
        <w:t>PT của Tòa án nhân dân cấp cao Thành phố Hồ Chí Minh; Bản án số</w:t>
      </w:r>
      <w:r w:rsidR="005D4902" w:rsidRPr="009146D0">
        <w:rPr>
          <w:rFonts w:ascii="Times New Roman" w:hAnsi="Times New Roman" w:cs="Times New Roman"/>
          <w:sz w:val="20"/>
          <w:szCs w:val="20"/>
          <w:lang w:val="vi-VN"/>
        </w:rPr>
        <w:t xml:space="preserve"> 87/2021/HC-</w:t>
      </w:r>
      <w:r w:rsidRPr="009146D0">
        <w:rPr>
          <w:rFonts w:ascii="Times New Roman" w:hAnsi="Times New Roman" w:cs="Times New Roman"/>
          <w:sz w:val="20"/>
          <w:szCs w:val="20"/>
          <w:lang w:val="vi-VN"/>
        </w:rPr>
        <w:t xml:space="preserve">PT ngày 30/3/2021 của TAND cấp </w:t>
      </w:r>
      <w:r w:rsidRPr="009146D0">
        <w:rPr>
          <w:rFonts w:ascii="Times New Roman" w:hAnsi="Times New Roman" w:cs="Times New Roman"/>
          <w:spacing w:val="-6"/>
          <w:sz w:val="20"/>
          <w:szCs w:val="20"/>
          <w:lang w:val="vi-VN"/>
        </w:rPr>
        <w:t>cao Hà Nội; Bản án số</w:t>
      </w:r>
      <w:r w:rsidR="006F071A" w:rsidRPr="009146D0">
        <w:rPr>
          <w:rFonts w:ascii="Times New Roman" w:hAnsi="Times New Roman" w:cs="Times New Roman"/>
          <w:spacing w:val="-6"/>
          <w:sz w:val="20"/>
          <w:szCs w:val="20"/>
          <w:lang w:val="vi-VN"/>
        </w:rPr>
        <w:t xml:space="preserve"> 69/2021/</w:t>
      </w:r>
      <w:r w:rsidRPr="009146D0">
        <w:rPr>
          <w:rFonts w:ascii="Times New Roman" w:hAnsi="Times New Roman" w:cs="Times New Roman"/>
          <w:spacing w:val="-6"/>
          <w:sz w:val="20"/>
          <w:szCs w:val="20"/>
          <w:lang w:val="vi-VN"/>
        </w:rPr>
        <w:t>HC</w:t>
      </w:r>
      <w:r w:rsidR="005D4902" w:rsidRPr="009146D0">
        <w:rPr>
          <w:rFonts w:ascii="Times New Roman" w:hAnsi="Times New Roman" w:cs="Times New Roman"/>
          <w:spacing w:val="-6"/>
          <w:sz w:val="20"/>
          <w:szCs w:val="20"/>
          <w:lang w:val="vi-VN"/>
        </w:rPr>
        <w:t>-</w:t>
      </w:r>
      <w:r w:rsidRPr="009146D0">
        <w:rPr>
          <w:rFonts w:ascii="Times New Roman" w:hAnsi="Times New Roman" w:cs="Times New Roman"/>
          <w:spacing w:val="-6"/>
          <w:sz w:val="20"/>
          <w:szCs w:val="20"/>
          <w:lang w:val="vi-VN"/>
        </w:rPr>
        <w:t>PT ngày 10/3/2021</w:t>
      </w:r>
      <w:r w:rsidRPr="009146D0">
        <w:rPr>
          <w:rFonts w:ascii="Times New Roman" w:hAnsi="Times New Roman" w:cs="Times New Roman"/>
          <w:sz w:val="20"/>
          <w:szCs w:val="20"/>
          <w:lang w:val="vi-VN"/>
        </w:rPr>
        <w:t xml:space="preserve"> của TAND cấp cao Thành phố Hồ Chí Minh; Bản án số 22/2021/HC</w:t>
      </w:r>
      <w:r w:rsidR="005D4902" w:rsidRPr="009146D0">
        <w:rPr>
          <w:rFonts w:ascii="Times New Roman" w:hAnsi="Times New Roman" w:cs="Times New Roman"/>
          <w:sz w:val="20"/>
          <w:szCs w:val="20"/>
          <w:lang w:val="vi-VN"/>
        </w:rPr>
        <w:t>-</w:t>
      </w:r>
      <w:r w:rsidRPr="009146D0">
        <w:rPr>
          <w:rFonts w:ascii="Times New Roman" w:hAnsi="Times New Roman" w:cs="Times New Roman"/>
          <w:sz w:val="20"/>
          <w:szCs w:val="20"/>
          <w:lang w:val="vi-VN"/>
        </w:rPr>
        <w:t>PT ngày 21/01/2021 của TAND cấp cao Thành phố Hồ Chí Minh.</w:t>
      </w:r>
    </w:p>
  </w:footnote>
  <w:footnote w:id="13">
    <w:p w:rsidR="00835E05" w:rsidRPr="009146D0" w:rsidRDefault="00835E05" w:rsidP="006F071A">
      <w:pPr>
        <w:pStyle w:val="FootnoteText"/>
        <w:widowControl w:val="0"/>
        <w:tabs>
          <w:tab w:val="left" w:pos="198"/>
          <w:tab w:val="left" w:pos="567"/>
        </w:tabs>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006F071A" w:rsidRPr="009146D0">
        <w:rPr>
          <w:rFonts w:ascii="Times New Roman" w:hAnsi="Times New Roman" w:cs="Times New Roman"/>
          <w:spacing w:val="-6"/>
          <w:sz w:val="20"/>
          <w:szCs w:val="20"/>
          <w:lang w:val="vi-VN"/>
        </w:rPr>
        <w:t xml:space="preserve"> </w:t>
      </w:r>
      <w:r w:rsidR="006F071A" w:rsidRPr="009146D0">
        <w:rPr>
          <w:rFonts w:ascii="Times New Roman" w:hAnsi="Times New Roman" w:cs="Times New Roman"/>
          <w:spacing w:val="-6"/>
          <w:sz w:val="20"/>
          <w:szCs w:val="20"/>
          <w:lang w:val="vi-VN"/>
        </w:rPr>
        <w:tab/>
      </w:r>
      <w:r w:rsidRPr="009146D0">
        <w:rPr>
          <w:rFonts w:ascii="Times New Roman" w:hAnsi="Times New Roman" w:cs="Times New Roman"/>
          <w:spacing w:val="-6"/>
          <w:sz w:val="20"/>
          <w:szCs w:val="20"/>
          <w:lang w:val="vi-VN"/>
        </w:rPr>
        <w:t>Trích lược Bản án số 22/2021/HC-PT ngày 21/01/2021</w:t>
      </w:r>
      <w:r w:rsidRPr="009146D0">
        <w:rPr>
          <w:rFonts w:ascii="Times New Roman" w:hAnsi="Times New Roman" w:cs="Times New Roman"/>
          <w:sz w:val="20"/>
          <w:szCs w:val="20"/>
          <w:lang w:val="vi-VN"/>
        </w:rPr>
        <w:t xml:space="preserve"> của TAND cấp cao Thành phố Hồ Chí Minh. </w:t>
      </w:r>
    </w:p>
  </w:footnote>
  <w:footnote w:id="14">
    <w:p w:rsidR="00835E05" w:rsidRPr="009146D0" w:rsidRDefault="00835E05" w:rsidP="006F071A">
      <w:pPr>
        <w:widowControl w:val="0"/>
        <w:tabs>
          <w:tab w:val="left" w:pos="198"/>
          <w:tab w:val="left" w:pos="567"/>
        </w:tabs>
        <w:autoSpaceDE w:val="0"/>
        <w:autoSpaceDN w:val="0"/>
        <w:adjustRightInd w:val="0"/>
        <w:spacing w:line="257" w:lineRule="auto"/>
        <w:ind w:left="198" w:hanging="198"/>
        <w:jc w:val="both"/>
        <w:rPr>
          <w:rFonts w:ascii="Times New Roman" w:hAnsi="Times New Roman" w:cs="Times New Roman"/>
          <w:sz w:val="20"/>
          <w:szCs w:val="20"/>
          <w:lang w:val="vi-VN"/>
        </w:rPr>
      </w:pPr>
      <w:r w:rsidRPr="009146D0">
        <w:rPr>
          <w:rStyle w:val="FootnoteReference"/>
          <w:rFonts w:ascii="Times New Roman" w:hAnsi="Times New Roman" w:cs="Times New Roman"/>
          <w:sz w:val="20"/>
          <w:szCs w:val="20"/>
        </w:rPr>
        <w:footnoteRef/>
      </w:r>
      <w:r w:rsidR="006F071A" w:rsidRPr="009146D0">
        <w:rPr>
          <w:rFonts w:ascii="Times New Roman" w:hAnsi="Times New Roman" w:cs="Times New Roman"/>
          <w:spacing w:val="-4"/>
          <w:sz w:val="20"/>
          <w:szCs w:val="20"/>
          <w:lang w:val="vi-VN"/>
        </w:rPr>
        <w:t xml:space="preserve"> </w:t>
      </w:r>
      <w:r w:rsidRPr="009146D0">
        <w:rPr>
          <w:rFonts w:ascii="Times New Roman" w:hAnsi="Times New Roman" w:cs="Times New Roman"/>
          <w:spacing w:val="-4"/>
          <w:sz w:val="20"/>
          <w:szCs w:val="20"/>
          <w:lang w:val="vi-VN"/>
        </w:rPr>
        <w:t xml:space="preserve">Trích lược Bản án số </w:t>
      </w:r>
      <w:r w:rsidR="006F071A" w:rsidRPr="009146D0">
        <w:rPr>
          <w:rFonts w:ascii="Times New Roman" w:hAnsi="Times New Roman" w:cs="Times New Roman"/>
          <w:spacing w:val="-4"/>
          <w:sz w:val="20"/>
          <w:szCs w:val="20"/>
          <w:lang w:val="vi-VN"/>
        </w:rPr>
        <w:t>69/2021/HC-PT</w:t>
      </w:r>
      <w:r w:rsidRPr="009146D0">
        <w:rPr>
          <w:rFonts w:ascii="Times New Roman" w:hAnsi="Times New Roman" w:cs="Times New Roman"/>
          <w:spacing w:val="-4"/>
          <w:sz w:val="20"/>
          <w:szCs w:val="20"/>
          <w:lang w:val="vi-VN"/>
        </w:rPr>
        <w:t xml:space="preserve"> ngày 10/3/2021</w:t>
      </w:r>
      <w:r w:rsidRPr="009146D0">
        <w:rPr>
          <w:rFonts w:ascii="Times New Roman" w:hAnsi="Times New Roman" w:cs="Times New Roman"/>
          <w:sz w:val="20"/>
          <w:szCs w:val="20"/>
          <w:lang w:val="vi-VN"/>
        </w:rPr>
        <w:t xml:space="preserve"> của TAND cấp cao Thành phố Hồ Chí Minh.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1" w:rsidRPr="00BC673A" w:rsidRDefault="006C2361" w:rsidP="006C2361">
    <w:pPr>
      <w:pStyle w:val="Header"/>
      <w:rPr>
        <w:color w:val="003399"/>
        <w:sz w:val="21"/>
        <w:szCs w:val="21"/>
      </w:rPr>
    </w:pPr>
    <w:r>
      <w:rPr>
        <w:noProof/>
      </w:rPr>
      <mc:AlternateContent>
        <mc:Choice Requires="wps">
          <w:drawing>
            <wp:anchor distT="4294967278" distB="4294967278" distL="114300" distR="114300" simplePos="0" relativeHeight="251661312" behindDoc="0" locked="0" layoutInCell="1" allowOverlap="1" wp14:anchorId="6343875E" wp14:editId="30AD0E18">
              <wp:simplePos x="0" y="0"/>
              <wp:positionH relativeFrom="column">
                <wp:posOffset>-3810</wp:posOffset>
              </wp:positionH>
              <wp:positionV relativeFrom="paragraph">
                <wp:posOffset>172084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Fp1LdM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p w:rsidR="006C2361" w:rsidRDefault="006C2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1" w:rsidRPr="006C2361" w:rsidRDefault="006C2361" w:rsidP="006C2361">
    <w:pPr>
      <w:pStyle w:val="Header"/>
      <w:jc w:val="right"/>
      <w:rPr>
        <w:color w:val="003399"/>
        <w:sz w:val="21"/>
        <w:szCs w:val="21"/>
      </w:rPr>
    </w:pPr>
    <w:r>
      <w:rPr>
        <w:noProof/>
      </w:rPr>
      <mc:AlternateContent>
        <mc:Choice Requires="wps">
          <w:drawing>
            <wp:anchor distT="4294967278" distB="4294967278" distL="114300" distR="114300" simplePos="0" relativeHeight="251659264" behindDoc="0" locked="0" layoutInCell="1" allowOverlap="1" wp14:anchorId="7A028C9A" wp14:editId="4ED8E0A3">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222"/>
    <w:multiLevelType w:val="hybridMultilevel"/>
    <w:tmpl w:val="E39EE9EA"/>
    <w:lvl w:ilvl="0" w:tplc="76981708">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D3D07"/>
    <w:multiLevelType w:val="hybridMultilevel"/>
    <w:tmpl w:val="1FD242EE"/>
    <w:lvl w:ilvl="0" w:tplc="9AAE8984">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44971"/>
    <w:multiLevelType w:val="hybridMultilevel"/>
    <w:tmpl w:val="0FC421D6"/>
    <w:lvl w:ilvl="0" w:tplc="15162EB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8A199C"/>
    <w:multiLevelType w:val="hybridMultilevel"/>
    <w:tmpl w:val="1FD242EE"/>
    <w:lvl w:ilvl="0" w:tplc="9AAE8984">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92164"/>
    <w:multiLevelType w:val="hybridMultilevel"/>
    <w:tmpl w:val="5044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Windows User">
    <w15:presenceInfo w15:providerId="None" w15:userId="Windows Use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FB"/>
    <w:rsid w:val="000036CF"/>
    <w:rsid w:val="00003C5A"/>
    <w:rsid w:val="0000612F"/>
    <w:rsid w:val="00006D38"/>
    <w:rsid w:val="00010CBD"/>
    <w:rsid w:val="00011554"/>
    <w:rsid w:val="00015070"/>
    <w:rsid w:val="00015A0D"/>
    <w:rsid w:val="00017C52"/>
    <w:rsid w:val="000204AC"/>
    <w:rsid w:val="00020DBD"/>
    <w:rsid w:val="00020EBE"/>
    <w:rsid w:val="00025B2A"/>
    <w:rsid w:val="000302EC"/>
    <w:rsid w:val="00030716"/>
    <w:rsid w:val="0003399A"/>
    <w:rsid w:val="00034FC8"/>
    <w:rsid w:val="000375CF"/>
    <w:rsid w:val="00041242"/>
    <w:rsid w:val="000419B9"/>
    <w:rsid w:val="00046DE2"/>
    <w:rsid w:val="0004779A"/>
    <w:rsid w:val="00057C25"/>
    <w:rsid w:val="0006073F"/>
    <w:rsid w:val="00061C08"/>
    <w:rsid w:val="000641E3"/>
    <w:rsid w:val="00064807"/>
    <w:rsid w:val="00070A38"/>
    <w:rsid w:val="0007171A"/>
    <w:rsid w:val="000742B0"/>
    <w:rsid w:val="00075592"/>
    <w:rsid w:val="00080B23"/>
    <w:rsid w:val="00081D48"/>
    <w:rsid w:val="00082E17"/>
    <w:rsid w:val="000855D3"/>
    <w:rsid w:val="00091D5D"/>
    <w:rsid w:val="00097974"/>
    <w:rsid w:val="000A291E"/>
    <w:rsid w:val="000A65C8"/>
    <w:rsid w:val="000A6BA6"/>
    <w:rsid w:val="000B0037"/>
    <w:rsid w:val="000B1570"/>
    <w:rsid w:val="000B4186"/>
    <w:rsid w:val="000D0F69"/>
    <w:rsid w:val="000D3135"/>
    <w:rsid w:val="000D5203"/>
    <w:rsid w:val="000D5607"/>
    <w:rsid w:val="000D6109"/>
    <w:rsid w:val="000D6FD2"/>
    <w:rsid w:val="000D7CF3"/>
    <w:rsid w:val="000E30FD"/>
    <w:rsid w:val="000E3C9F"/>
    <w:rsid w:val="000E6DF0"/>
    <w:rsid w:val="000E7778"/>
    <w:rsid w:val="00101055"/>
    <w:rsid w:val="00104ABF"/>
    <w:rsid w:val="00104FDD"/>
    <w:rsid w:val="00106721"/>
    <w:rsid w:val="001139E4"/>
    <w:rsid w:val="00116083"/>
    <w:rsid w:val="00131028"/>
    <w:rsid w:val="00134CE7"/>
    <w:rsid w:val="00136745"/>
    <w:rsid w:val="00136E75"/>
    <w:rsid w:val="00137A7E"/>
    <w:rsid w:val="001462D6"/>
    <w:rsid w:val="001509F0"/>
    <w:rsid w:val="001512C6"/>
    <w:rsid w:val="00151EEB"/>
    <w:rsid w:val="00153233"/>
    <w:rsid w:val="00154ADE"/>
    <w:rsid w:val="00155B72"/>
    <w:rsid w:val="001560D8"/>
    <w:rsid w:val="00156B4E"/>
    <w:rsid w:val="00156D1F"/>
    <w:rsid w:val="00160034"/>
    <w:rsid w:val="00160A01"/>
    <w:rsid w:val="00160D38"/>
    <w:rsid w:val="00162836"/>
    <w:rsid w:val="00162A95"/>
    <w:rsid w:val="00162B1F"/>
    <w:rsid w:val="00163BFA"/>
    <w:rsid w:val="001643F2"/>
    <w:rsid w:val="001658F5"/>
    <w:rsid w:val="00165F62"/>
    <w:rsid w:val="001700C5"/>
    <w:rsid w:val="00170A5A"/>
    <w:rsid w:val="00176F32"/>
    <w:rsid w:val="00177089"/>
    <w:rsid w:val="001775E4"/>
    <w:rsid w:val="0018142F"/>
    <w:rsid w:val="00190121"/>
    <w:rsid w:val="00192298"/>
    <w:rsid w:val="001940D9"/>
    <w:rsid w:val="001946F4"/>
    <w:rsid w:val="00197A2A"/>
    <w:rsid w:val="001A22A8"/>
    <w:rsid w:val="001A6B13"/>
    <w:rsid w:val="001A7150"/>
    <w:rsid w:val="001B2915"/>
    <w:rsid w:val="001B32C4"/>
    <w:rsid w:val="001B39F4"/>
    <w:rsid w:val="001B5643"/>
    <w:rsid w:val="001C08B1"/>
    <w:rsid w:val="001C2184"/>
    <w:rsid w:val="001C22C8"/>
    <w:rsid w:val="001C4A43"/>
    <w:rsid w:val="001C7A8C"/>
    <w:rsid w:val="001D1F38"/>
    <w:rsid w:val="001D288E"/>
    <w:rsid w:val="001D30A7"/>
    <w:rsid w:val="001D42D3"/>
    <w:rsid w:val="001D5295"/>
    <w:rsid w:val="001D6307"/>
    <w:rsid w:val="001D69D4"/>
    <w:rsid w:val="001F056E"/>
    <w:rsid w:val="001F0A7A"/>
    <w:rsid w:val="001F4BFF"/>
    <w:rsid w:val="00204A67"/>
    <w:rsid w:val="002123A8"/>
    <w:rsid w:val="002136D6"/>
    <w:rsid w:val="00215705"/>
    <w:rsid w:val="00215D85"/>
    <w:rsid w:val="002176B0"/>
    <w:rsid w:val="00217ADD"/>
    <w:rsid w:val="00220F43"/>
    <w:rsid w:val="00223F17"/>
    <w:rsid w:val="002364D4"/>
    <w:rsid w:val="002402AF"/>
    <w:rsid w:val="00240CDC"/>
    <w:rsid w:val="002506F6"/>
    <w:rsid w:val="002509CF"/>
    <w:rsid w:val="00250A4F"/>
    <w:rsid w:val="00251418"/>
    <w:rsid w:val="00255D8E"/>
    <w:rsid w:val="002572FB"/>
    <w:rsid w:val="002607DD"/>
    <w:rsid w:val="00261045"/>
    <w:rsid w:val="00263310"/>
    <w:rsid w:val="00263EAE"/>
    <w:rsid w:val="00263F34"/>
    <w:rsid w:val="00264962"/>
    <w:rsid w:val="00273043"/>
    <w:rsid w:val="0027406D"/>
    <w:rsid w:val="0027492A"/>
    <w:rsid w:val="002755E3"/>
    <w:rsid w:val="00277687"/>
    <w:rsid w:val="00281422"/>
    <w:rsid w:val="00282DE4"/>
    <w:rsid w:val="00284766"/>
    <w:rsid w:val="0029147D"/>
    <w:rsid w:val="002973A2"/>
    <w:rsid w:val="002973D3"/>
    <w:rsid w:val="002A52D6"/>
    <w:rsid w:val="002A559C"/>
    <w:rsid w:val="002A7417"/>
    <w:rsid w:val="002B00B4"/>
    <w:rsid w:val="002B0738"/>
    <w:rsid w:val="002B19ED"/>
    <w:rsid w:val="002B1FF3"/>
    <w:rsid w:val="002B65D6"/>
    <w:rsid w:val="002B75D6"/>
    <w:rsid w:val="002C32BE"/>
    <w:rsid w:val="002C4387"/>
    <w:rsid w:val="002C4CF2"/>
    <w:rsid w:val="002C72E3"/>
    <w:rsid w:val="002D0E8A"/>
    <w:rsid w:val="002E0623"/>
    <w:rsid w:val="002E3100"/>
    <w:rsid w:val="002E4A77"/>
    <w:rsid w:val="002E61B2"/>
    <w:rsid w:val="002E6527"/>
    <w:rsid w:val="002E69C5"/>
    <w:rsid w:val="002E6D93"/>
    <w:rsid w:val="002F2271"/>
    <w:rsid w:val="002F6E87"/>
    <w:rsid w:val="003023B9"/>
    <w:rsid w:val="003058E8"/>
    <w:rsid w:val="00305FA3"/>
    <w:rsid w:val="00306D3E"/>
    <w:rsid w:val="0030793B"/>
    <w:rsid w:val="00311F6F"/>
    <w:rsid w:val="003125ED"/>
    <w:rsid w:val="00312964"/>
    <w:rsid w:val="003132FF"/>
    <w:rsid w:val="00317246"/>
    <w:rsid w:val="00322183"/>
    <w:rsid w:val="0032222D"/>
    <w:rsid w:val="00322E4A"/>
    <w:rsid w:val="00331ACA"/>
    <w:rsid w:val="00340914"/>
    <w:rsid w:val="00340E68"/>
    <w:rsid w:val="00341189"/>
    <w:rsid w:val="00341ED4"/>
    <w:rsid w:val="003427FB"/>
    <w:rsid w:val="00344580"/>
    <w:rsid w:val="00344872"/>
    <w:rsid w:val="00350517"/>
    <w:rsid w:val="00353AC0"/>
    <w:rsid w:val="00353C03"/>
    <w:rsid w:val="00354FF0"/>
    <w:rsid w:val="00360CCD"/>
    <w:rsid w:val="00361EF9"/>
    <w:rsid w:val="00366951"/>
    <w:rsid w:val="00367C1D"/>
    <w:rsid w:val="00370333"/>
    <w:rsid w:val="00370D8B"/>
    <w:rsid w:val="0037229E"/>
    <w:rsid w:val="00374FE0"/>
    <w:rsid w:val="00375053"/>
    <w:rsid w:val="0037765D"/>
    <w:rsid w:val="003808CA"/>
    <w:rsid w:val="0038115E"/>
    <w:rsid w:val="00381AF8"/>
    <w:rsid w:val="00384940"/>
    <w:rsid w:val="00386D38"/>
    <w:rsid w:val="00387814"/>
    <w:rsid w:val="00391061"/>
    <w:rsid w:val="003916C2"/>
    <w:rsid w:val="003978D4"/>
    <w:rsid w:val="00397940"/>
    <w:rsid w:val="003A00C7"/>
    <w:rsid w:val="003A0B8D"/>
    <w:rsid w:val="003A1847"/>
    <w:rsid w:val="003A33F0"/>
    <w:rsid w:val="003A55F3"/>
    <w:rsid w:val="003A5F1A"/>
    <w:rsid w:val="003B36BC"/>
    <w:rsid w:val="003B7DB7"/>
    <w:rsid w:val="003C0115"/>
    <w:rsid w:val="003C176D"/>
    <w:rsid w:val="003C1F76"/>
    <w:rsid w:val="003C2238"/>
    <w:rsid w:val="003C3E00"/>
    <w:rsid w:val="003C69BC"/>
    <w:rsid w:val="003D046A"/>
    <w:rsid w:val="003D56C5"/>
    <w:rsid w:val="003E0553"/>
    <w:rsid w:val="003E0CBA"/>
    <w:rsid w:val="003E1831"/>
    <w:rsid w:val="003E2B8E"/>
    <w:rsid w:val="003E336E"/>
    <w:rsid w:val="003E3C14"/>
    <w:rsid w:val="003E42BB"/>
    <w:rsid w:val="003E4794"/>
    <w:rsid w:val="003E7091"/>
    <w:rsid w:val="003E7558"/>
    <w:rsid w:val="003F0DD0"/>
    <w:rsid w:val="003F0E9A"/>
    <w:rsid w:val="003F30B0"/>
    <w:rsid w:val="00402EE6"/>
    <w:rsid w:val="00414124"/>
    <w:rsid w:val="004158CC"/>
    <w:rsid w:val="004178F6"/>
    <w:rsid w:val="00417DE5"/>
    <w:rsid w:val="004223D8"/>
    <w:rsid w:val="00423D9E"/>
    <w:rsid w:val="00425762"/>
    <w:rsid w:val="004311B3"/>
    <w:rsid w:val="0043323E"/>
    <w:rsid w:val="0043768C"/>
    <w:rsid w:val="0044437A"/>
    <w:rsid w:val="00444C5C"/>
    <w:rsid w:val="004456D5"/>
    <w:rsid w:val="00447960"/>
    <w:rsid w:val="00450361"/>
    <w:rsid w:val="0045728B"/>
    <w:rsid w:val="00461DD3"/>
    <w:rsid w:val="00467BA0"/>
    <w:rsid w:val="004721D0"/>
    <w:rsid w:val="004744BF"/>
    <w:rsid w:val="004744C3"/>
    <w:rsid w:val="00474ED6"/>
    <w:rsid w:val="00480AA7"/>
    <w:rsid w:val="00480D8C"/>
    <w:rsid w:val="00486461"/>
    <w:rsid w:val="00492C93"/>
    <w:rsid w:val="00493C75"/>
    <w:rsid w:val="0049479C"/>
    <w:rsid w:val="004947AA"/>
    <w:rsid w:val="0049499E"/>
    <w:rsid w:val="00495BCF"/>
    <w:rsid w:val="004A1C34"/>
    <w:rsid w:val="004A22B9"/>
    <w:rsid w:val="004A6336"/>
    <w:rsid w:val="004A635C"/>
    <w:rsid w:val="004B0536"/>
    <w:rsid w:val="004B4152"/>
    <w:rsid w:val="004B43CD"/>
    <w:rsid w:val="004B4A41"/>
    <w:rsid w:val="004B555D"/>
    <w:rsid w:val="004B674D"/>
    <w:rsid w:val="004B7C75"/>
    <w:rsid w:val="004C085A"/>
    <w:rsid w:val="004D1332"/>
    <w:rsid w:val="004D22EE"/>
    <w:rsid w:val="004D230D"/>
    <w:rsid w:val="004E52F3"/>
    <w:rsid w:val="004E6AC3"/>
    <w:rsid w:val="004F14E3"/>
    <w:rsid w:val="004F3AE4"/>
    <w:rsid w:val="004F7DA2"/>
    <w:rsid w:val="00500927"/>
    <w:rsid w:val="00501F47"/>
    <w:rsid w:val="00502D89"/>
    <w:rsid w:val="005039F2"/>
    <w:rsid w:val="005040BE"/>
    <w:rsid w:val="00504672"/>
    <w:rsid w:val="00504DD9"/>
    <w:rsid w:val="00507C09"/>
    <w:rsid w:val="00511A95"/>
    <w:rsid w:val="00513B1F"/>
    <w:rsid w:val="00515996"/>
    <w:rsid w:val="005201B3"/>
    <w:rsid w:val="00521F88"/>
    <w:rsid w:val="00522AD7"/>
    <w:rsid w:val="00524003"/>
    <w:rsid w:val="005248A8"/>
    <w:rsid w:val="0052569A"/>
    <w:rsid w:val="00525F39"/>
    <w:rsid w:val="00526397"/>
    <w:rsid w:val="00526C4A"/>
    <w:rsid w:val="005275A5"/>
    <w:rsid w:val="005307AD"/>
    <w:rsid w:val="00534F9C"/>
    <w:rsid w:val="005356FA"/>
    <w:rsid w:val="00535F14"/>
    <w:rsid w:val="00543670"/>
    <w:rsid w:val="00545A52"/>
    <w:rsid w:val="00545EDB"/>
    <w:rsid w:val="005472B6"/>
    <w:rsid w:val="0055400C"/>
    <w:rsid w:val="00555B9C"/>
    <w:rsid w:val="00556EA0"/>
    <w:rsid w:val="00557C13"/>
    <w:rsid w:val="00562990"/>
    <w:rsid w:val="005632AB"/>
    <w:rsid w:val="00564AE1"/>
    <w:rsid w:val="0057102B"/>
    <w:rsid w:val="005711D3"/>
    <w:rsid w:val="00571E96"/>
    <w:rsid w:val="005732F5"/>
    <w:rsid w:val="00574BBA"/>
    <w:rsid w:val="00574ECD"/>
    <w:rsid w:val="00581295"/>
    <w:rsid w:val="00583CDF"/>
    <w:rsid w:val="00586622"/>
    <w:rsid w:val="00587F80"/>
    <w:rsid w:val="00593D94"/>
    <w:rsid w:val="0059772E"/>
    <w:rsid w:val="005977D6"/>
    <w:rsid w:val="005A08EC"/>
    <w:rsid w:val="005A4E37"/>
    <w:rsid w:val="005B04DA"/>
    <w:rsid w:val="005B1067"/>
    <w:rsid w:val="005C34DC"/>
    <w:rsid w:val="005D0881"/>
    <w:rsid w:val="005D2A00"/>
    <w:rsid w:val="005D4902"/>
    <w:rsid w:val="005D70F2"/>
    <w:rsid w:val="005D720B"/>
    <w:rsid w:val="005E05DF"/>
    <w:rsid w:val="005E4E1C"/>
    <w:rsid w:val="005E6B29"/>
    <w:rsid w:val="005F19ED"/>
    <w:rsid w:val="005F28C0"/>
    <w:rsid w:val="005F2B76"/>
    <w:rsid w:val="005F6778"/>
    <w:rsid w:val="00601019"/>
    <w:rsid w:val="00604019"/>
    <w:rsid w:val="00612E28"/>
    <w:rsid w:val="00614134"/>
    <w:rsid w:val="00614665"/>
    <w:rsid w:val="00614A90"/>
    <w:rsid w:val="00620B78"/>
    <w:rsid w:val="00625BEF"/>
    <w:rsid w:val="006260F6"/>
    <w:rsid w:val="00626B97"/>
    <w:rsid w:val="006270AC"/>
    <w:rsid w:val="006307B3"/>
    <w:rsid w:val="00635702"/>
    <w:rsid w:val="00642AA3"/>
    <w:rsid w:val="00644672"/>
    <w:rsid w:val="006457D5"/>
    <w:rsid w:val="00646FE8"/>
    <w:rsid w:val="0064728D"/>
    <w:rsid w:val="006504B7"/>
    <w:rsid w:val="00651DFB"/>
    <w:rsid w:val="006544D1"/>
    <w:rsid w:val="006552FE"/>
    <w:rsid w:val="00666205"/>
    <w:rsid w:val="00671785"/>
    <w:rsid w:val="006728CA"/>
    <w:rsid w:val="00675FB7"/>
    <w:rsid w:val="00677FC9"/>
    <w:rsid w:val="00684FE5"/>
    <w:rsid w:val="006875C5"/>
    <w:rsid w:val="00690B0A"/>
    <w:rsid w:val="006957E0"/>
    <w:rsid w:val="006A39DF"/>
    <w:rsid w:val="006A7B9C"/>
    <w:rsid w:val="006B0434"/>
    <w:rsid w:val="006B0D31"/>
    <w:rsid w:val="006B5F6B"/>
    <w:rsid w:val="006C1A99"/>
    <w:rsid w:val="006C2361"/>
    <w:rsid w:val="006C27C2"/>
    <w:rsid w:val="006C2C8F"/>
    <w:rsid w:val="006C3C8D"/>
    <w:rsid w:val="006C52F5"/>
    <w:rsid w:val="006C6759"/>
    <w:rsid w:val="006E07C6"/>
    <w:rsid w:val="006E0B62"/>
    <w:rsid w:val="006E1F60"/>
    <w:rsid w:val="006E29B7"/>
    <w:rsid w:val="006E31DE"/>
    <w:rsid w:val="006E587A"/>
    <w:rsid w:val="006E607A"/>
    <w:rsid w:val="006F071A"/>
    <w:rsid w:val="006F0BBD"/>
    <w:rsid w:val="006F1D18"/>
    <w:rsid w:val="006F217C"/>
    <w:rsid w:val="006F29E4"/>
    <w:rsid w:val="006F3AF0"/>
    <w:rsid w:val="006F60D6"/>
    <w:rsid w:val="006F65F0"/>
    <w:rsid w:val="00705439"/>
    <w:rsid w:val="00705B11"/>
    <w:rsid w:val="0071018B"/>
    <w:rsid w:val="00717F0F"/>
    <w:rsid w:val="00730086"/>
    <w:rsid w:val="00731306"/>
    <w:rsid w:val="0075001A"/>
    <w:rsid w:val="00751E11"/>
    <w:rsid w:val="00751F40"/>
    <w:rsid w:val="00753E6B"/>
    <w:rsid w:val="00756736"/>
    <w:rsid w:val="00757431"/>
    <w:rsid w:val="007653D3"/>
    <w:rsid w:val="007655CB"/>
    <w:rsid w:val="00766EB4"/>
    <w:rsid w:val="00767369"/>
    <w:rsid w:val="0077180D"/>
    <w:rsid w:val="0077471F"/>
    <w:rsid w:val="007754D0"/>
    <w:rsid w:val="00775CC3"/>
    <w:rsid w:val="00777E98"/>
    <w:rsid w:val="00783D7E"/>
    <w:rsid w:val="0078517C"/>
    <w:rsid w:val="007854DD"/>
    <w:rsid w:val="00791600"/>
    <w:rsid w:val="0079367D"/>
    <w:rsid w:val="00796F1E"/>
    <w:rsid w:val="007A1893"/>
    <w:rsid w:val="007A1D44"/>
    <w:rsid w:val="007A2283"/>
    <w:rsid w:val="007A4115"/>
    <w:rsid w:val="007A442F"/>
    <w:rsid w:val="007A5FF3"/>
    <w:rsid w:val="007A67FA"/>
    <w:rsid w:val="007B1787"/>
    <w:rsid w:val="007B33E0"/>
    <w:rsid w:val="007B3D49"/>
    <w:rsid w:val="007B497C"/>
    <w:rsid w:val="007C08E7"/>
    <w:rsid w:val="007C2C20"/>
    <w:rsid w:val="007C2C2C"/>
    <w:rsid w:val="007C33E2"/>
    <w:rsid w:val="007C5687"/>
    <w:rsid w:val="007C7BE8"/>
    <w:rsid w:val="007D0700"/>
    <w:rsid w:val="007D21AB"/>
    <w:rsid w:val="007D2D67"/>
    <w:rsid w:val="007D31AD"/>
    <w:rsid w:val="007D4325"/>
    <w:rsid w:val="007F31EE"/>
    <w:rsid w:val="007F371B"/>
    <w:rsid w:val="00801448"/>
    <w:rsid w:val="008066C5"/>
    <w:rsid w:val="008109E2"/>
    <w:rsid w:val="008121FE"/>
    <w:rsid w:val="008140F3"/>
    <w:rsid w:val="00815071"/>
    <w:rsid w:val="0081703F"/>
    <w:rsid w:val="0081784A"/>
    <w:rsid w:val="00821891"/>
    <w:rsid w:val="00822C83"/>
    <w:rsid w:val="0082479C"/>
    <w:rsid w:val="00824BE5"/>
    <w:rsid w:val="008263AF"/>
    <w:rsid w:val="008265F4"/>
    <w:rsid w:val="008272CD"/>
    <w:rsid w:val="00831DBD"/>
    <w:rsid w:val="00832B5C"/>
    <w:rsid w:val="00833175"/>
    <w:rsid w:val="00835E05"/>
    <w:rsid w:val="0084133E"/>
    <w:rsid w:val="00842A83"/>
    <w:rsid w:val="00843478"/>
    <w:rsid w:val="00844019"/>
    <w:rsid w:val="008440E8"/>
    <w:rsid w:val="00844F9D"/>
    <w:rsid w:val="0084593C"/>
    <w:rsid w:val="00846633"/>
    <w:rsid w:val="00847772"/>
    <w:rsid w:val="00847832"/>
    <w:rsid w:val="00851637"/>
    <w:rsid w:val="008540FE"/>
    <w:rsid w:val="00862AD2"/>
    <w:rsid w:val="00864099"/>
    <w:rsid w:val="00866C7C"/>
    <w:rsid w:val="008679BF"/>
    <w:rsid w:val="00872ACD"/>
    <w:rsid w:val="00877FCA"/>
    <w:rsid w:val="00880939"/>
    <w:rsid w:val="00883EB5"/>
    <w:rsid w:val="00884E53"/>
    <w:rsid w:val="00892C56"/>
    <w:rsid w:val="00892E71"/>
    <w:rsid w:val="00893955"/>
    <w:rsid w:val="008951A9"/>
    <w:rsid w:val="00896359"/>
    <w:rsid w:val="0089712F"/>
    <w:rsid w:val="008972B7"/>
    <w:rsid w:val="00897811"/>
    <w:rsid w:val="008A0C51"/>
    <w:rsid w:val="008A15E6"/>
    <w:rsid w:val="008A3EBE"/>
    <w:rsid w:val="008B30C7"/>
    <w:rsid w:val="008B7216"/>
    <w:rsid w:val="008C19F8"/>
    <w:rsid w:val="008C4D19"/>
    <w:rsid w:val="008C4FC0"/>
    <w:rsid w:val="008C66C8"/>
    <w:rsid w:val="008D3D44"/>
    <w:rsid w:val="008D777F"/>
    <w:rsid w:val="008E5B96"/>
    <w:rsid w:val="008F2E04"/>
    <w:rsid w:val="008F47E4"/>
    <w:rsid w:val="008F5403"/>
    <w:rsid w:val="008F6397"/>
    <w:rsid w:val="008F7B5D"/>
    <w:rsid w:val="00901C98"/>
    <w:rsid w:val="00902587"/>
    <w:rsid w:val="009037EC"/>
    <w:rsid w:val="009042DC"/>
    <w:rsid w:val="00905BC0"/>
    <w:rsid w:val="00905E29"/>
    <w:rsid w:val="009063A5"/>
    <w:rsid w:val="00906DF9"/>
    <w:rsid w:val="0091115A"/>
    <w:rsid w:val="00911506"/>
    <w:rsid w:val="00912545"/>
    <w:rsid w:val="00914233"/>
    <w:rsid w:val="009146D0"/>
    <w:rsid w:val="00916CF3"/>
    <w:rsid w:val="00917E89"/>
    <w:rsid w:val="00920219"/>
    <w:rsid w:val="009216B9"/>
    <w:rsid w:val="00923601"/>
    <w:rsid w:val="009275A5"/>
    <w:rsid w:val="009276AF"/>
    <w:rsid w:val="00933B3F"/>
    <w:rsid w:val="009367AD"/>
    <w:rsid w:val="0094061E"/>
    <w:rsid w:val="009424F0"/>
    <w:rsid w:val="00944445"/>
    <w:rsid w:val="00954959"/>
    <w:rsid w:val="0097371B"/>
    <w:rsid w:val="00980248"/>
    <w:rsid w:val="00986422"/>
    <w:rsid w:val="00986574"/>
    <w:rsid w:val="00987ECC"/>
    <w:rsid w:val="009928F8"/>
    <w:rsid w:val="009953BB"/>
    <w:rsid w:val="00995FC0"/>
    <w:rsid w:val="009965ED"/>
    <w:rsid w:val="00997C35"/>
    <w:rsid w:val="009A2585"/>
    <w:rsid w:val="009A26E9"/>
    <w:rsid w:val="009A3ADB"/>
    <w:rsid w:val="009B0C81"/>
    <w:rsid w:val="009B40AF"/>
    <w:rsid w:val="009B49A1"/>
    <w:rsid w:val="009C071C"/>
    <w:rsid w:val="009C1BA0"/>
    <w:rsid w:val="009C24DB"/>
    <w:rsid w:val="009C3183"/>
    <w:rsid w:val="009C584B"/>
    <w:rsid w:val="009D048E"/>
    <w:rsid w:val="009D0EB3"/>
    <w:rsid w:val="009D3E25"/>
    <w:rsid w:val="009D41F5"/>
    <w:rsid w:val="009D4939"/>
    <w:rsid w:val="009D4DD6"/>
    <w:rsid w:val="009D5A4F"/>
    <w:rsid w:val="009E57A8"/>
    <w:rsid w:val="009F0282"/>
    <w:rsid w:val="009F0CC8"/>
    <w:rsid w:val="009F153A"/>
    <w:rsid w:val="009F2F86"/>
    <w:rsid w:val="009F3FCA"/>
    <w:rsid w:val="009F5789"/>
    <w:rsid w:val="009F5DED"/>
    <w:rsid w:val="00A019A8"/>
    <w:rsid w:val="00A077E5"/>
    <w:rsid w:val="00A10B61"/>
    <w:rsid w:val="00A14A86"/>
    <w:rsid w:val="00A15C84"/>
    <w:rsid w:val="00A201EC"/>
    <w:rsid w:val="00A21138"/>
    <w:rsid w:val="00A23C0B"/>
    <w:rsid w:val="00A243F0"/>
    <w:rsid w:val="00A31A13"/>
    <w:rsid w:val="00A3478B"/>
    <w:rsid w:val="00A36A51"/>
    <w:rsid w:val="00A37D50"/>
    <w:rsid w:val="00A400CA"/>
    <w:rsid w:val="00A40D12"/>
    <w:rsid w:val="00A4138C"/>
    <w:rsid w:val="00A443FD"/>
    <w:rsid w:val="00A47364"/>
    <w:rsid w:val="00A51E14"/>
    <w:rsid w:val="00A55932"/>
    <w:rsid w:val="00A60B46"/>
    <w:rsid w:val="00A620A6"/>
    <w:rsid w:val="00A62725"/>
    <w:rsid w:val="00A65365"/>
    <w:rsid w:val="00A664DF"/>
    <w:rsid w:val="00A66ED7"/>
    <w:rsid w:val="00A72816"/>
    <w:rsid w:val="00A7336E"/>
    <w:rsid w:val="00A741CF"/>
    <w:rsid w:val="00A7627C"/>
    <w:rsid w:val="00A85539"/>
    <w:rsid w:val="00A933A8"/>
    <w:rsid w:val="00AA2CEF"/>
    <w:rsid w:val="00AA358B"/>
    <w:rsid w:val="00AA46CE"/>
    <w:rsid w:val="00AB36D2"/>
    <w:rsid w:val="00AB38F3"/>
    <w:rsid w:val="00AC049E"/>
    <w:rsid w:val="00AC09F8"/>
    <w:rsid w:val="00AC1A9B"/>
    <w:rsid w:val="00AC2A3D"/>
    <w:rsid w:val="00AC418B"/>
    <w:rsid w:val="00AC60BC"/>
    <w:rsid w:val="00AD2E4B"/>
    <w:rsid w:val="00AE1654"/>
    <w:rsid w:val="00AE34E2"/>
    <w:rsid w:val="00AE751F"/>
    <w:rsid w:val="00AE7B28"/>
    <w:rsid w:val="00AF1445"/>
    <w:rsid w:val="00AF1D25"/>
    <w:rsid w:val="00AF4012"/>
    <w:rsid w:val="00AF5FEA"/>
    <w:rsid w:val="00AF79CE"/>
    <w:rsid w:val="00B006BA"/>
    <w:rsid w:val="00B04BA8"/>
    <w:rsid w:val="00B10FB1"/>
    <w:rsid w:val="00B11262"/>
    <w:rsid w:val="00B12158"/>
    <w:rsid w:val="00B17ACA"/>
    <w:rsid w:val="00B22F69"/>
    <w:rsid w:val="00B24879"/>
    <w:rsid w:val="00B2492B"/>
    <w:rsid w:val="00B2699E"/>
    <w:rsid w:val="00B3214C"/>
    <w:rsid w:val="00B34874"/>
    <w:rsid w:val="00B34E4C"/>
    <w:rsid w:val="00B35EED"/>
    <w:rsid w:val="00B36286"/>
    <w:rsid w:val="00B41664"/>
    <w:rsid w:val="00B41C7B"/>
    <w:rsid w:val="00B44D3F"/>
    <w:rsid w:val="00B45D3B"/>
    <w:rsid w:val="00B52F86"/>
    <w:rsid w:val="00B57D7D"/>
    <w:rsid w:val="00B6215F"/>
    <w:rsid w:val="00B6479F"/>
    <w:rsid w:val="00B654DF"/>
    <w:rsid w:val="00B71A74"/>
    <w:rsid w:val="00B72E68"/>
    <w:rsid w:val="00B740D6"/>
    <w:rsid w:val="00B742A2"/>
    <w:rsid w:val="00B76121"/>
    <w:rsid w:val="00B77F5E"/>
    <w:rsid w:val="00B831B5"/>
    <w:rsid w:val="00B85EC1"/>
    <w:rsid w:val="00B86D21"/>
    <w:rsid w:val="00B92839"/>
    <w:rsid w:val="00B9356A"/>
    <w:rsid w:val="00B95DB5"/>
    <w:rsid w:val="00B967FA"/>
    <w:rsid w:val="00BA1117"/>
    <w:rsid w:val="00BA5206"/>
    <w:rsid w:val="00BA6892"/>
    <w:rsid w:val="00BA6D53"/>
    <w:rsid w:val="00BA749A"/>
    <w:rsid w:val="00BB081C"/>
    <w:rsid w:val="00BB5828"/>
    <w:rsid w:val="00BB76AA"/>
    <w:rsid w:val="00BC5DA9"/>
    <w:rsid w:val="00BC6731"/>
    <w:rsid w:val="00BC67FB"/>
    <w:rsid w:val="00BC69E1"/>
    <w:rsid w:val="00BD6614"/>
    <w:rsid w:val="00BD7FDB"/>
    <w:rsid w:val="00BE2385"/>
    <w:rsid w:val="00BE347C"/>
    <w:rsid w:val="00BE76A8"/>
    <w:rsid w:val="00BF1108"/>
    <w:rsid w:val="00BF32BA"/>
    <w:rsid w:val="00C07AB9"/>
    <w:rsid w:val="00C10AA2"/>
    <w:rsid w:val="00C117B1"/>
    <w:rsid w:val="00C11E09"/>
    <w:rsid w:val="00C13C8E"/>
    <w:rsid w:val="00C14237"/>
    <w:rsid w:val="00C16F50"/>
    <w:rsid w:val="00C20F8C"/>
    <w:rsid w:val="00C21517"/>
    <w:rsid w:val="00C21CCD"/>
    <w:rsid w:val="00C22226"/>
    <w:rsid w:val="00C2237D"/>
    <w:rsid w:val="00C22C96"/>
    <w:rsid w:val="00C24729"/>
    <w:rsid w:val="00C248D3"/>
    <w:rsid w:val="00C2535F"/>
    <w:rsid w:val="00C26204"/>
    <w:rsid w:val="00C30322"/>
    <w:rsid w:val="00C3077E"/>
    <w:rsid w:val="00C31A84"/>
    <w:rsid w:val="00C40D70"/>
    <w:rsid w:val="00C4490E"/>
    <w:rsid w:val="00C45926"/>
    <w:rsid w:val="00C46628"/>
    <w:rsid w:val="00C470FE"/>
    <w:rsid w:val="00C47579"/>
    <w:rsid w:val="00C47929"/>
    <w:rsid w:val="00C502DC"/>
    <w:rsid w:val="00C52F57"/>
    <w:rsid w:val="00C61538"/>
    <w:rsid w:val="00C70029"/>
    <w:rsid w:val="00C76FE5"/>
    <w:rsid w:val="00C779CF"/>
    <w:rsid w:val="00C77ACD"/>
    <w:rsid w:val="00C8074D"/>
    <w:rsid w:val="00C86CED"/>
    <w:rsid w:val="00C913B0"/>
    <w:rsid w:val="00C91B3D"/>
    <w:rsid w:val="00C943A9"/>
    <w:rsid w:val="00C97283"/>
    <w:rsid w:val="00CA0CCD"/>
    <w:rsid w:val="00CA20CA"/>
    <w:rsid w:val="00CA4B6D"/>
    <w:rsid w:val="00CB0885"/>
    <w:rsid w:val="00CB1FE6"/>
    <w:rsid w:val="00CB2E0E"/>
    <w:rsid w:val="00CB471D"/>
    <w:rsid w:val="00CB6464"/>
    <w:rsid w:val="00CB72C3"/>
    <w:rsid w:val="00CB78A3"/>
    <w:rsid w:val="00CC0023"/>
    <w:rsid w:val="00CC0067"/>
    <w:rsid w:val="00CC0CD6"/>
    <w:rsid w:val="00CC3B6E"/>
    <w:rsid w:val="00CC580C"/>
    <w:rsid w:val="00CC728E"/>
    <w:rsid w:val="00CD1EA6"/>
    <w:rsid w:val="00CD3680"/>
    <w:rsid w:val="00CD58A8"/>
    <w:rsid w:val="00CE2202"/>
    <w:rsid w:val="00CE2824"/>
    <w:rsid w:val="00CE46AE"/>
    <w:rsid w:val="00CE48DC"/>
    <w:rsid w:val="00CE7680"/>
    <w:rsid w:val="00CF2429"/>
    <w:rsid w:val="00CF27DD"/>
    <w:rsid w:val="00D03C25"/>
    <w:rsid w:val="00D06CDF"/>
    <w:rsid w:val="00D1286A"/>
    <w:rsid w:val="00D132E3"/>
    <w:rsid w:val="00D13A10"/>
    <w:rsid w:val="00D15162"/>
    <w:rsid w:val="00D16EF2"/>
    <w:rsid w:val="00D22056"/>
    <w:rsid w:val="00D270EE"/>
    <w:rsid w:val="00D27A0B"/>
    <w:rsid w:val="00D30ABA"/>
    <w:rsid w:val="00D336B8"/>
    <w:rsid w:val="00D353ED"/>
    <w:rsid w:val="00D35CF6"/>
    <w:rsid w:val="00D42FAA"/>
    <w:rsid w:val="00D441E2"/>
    <w:rsid w:val="00D50CE1"/>
    <w:rsid w:val="00D522A4"/>
    <w:rsid w:val="00D54D16"/>
    <w:rsid w:val="00D61DA4"/>
    <w:rsid w:val="00D62C17"/>
    <w:rsid w:val="00D638C0"/>
    <w:rsid w:val="00D67D4D"/>
    <w:rsid w:val="00D72182"/>
    <w:rsid w:val="00D73E34"/>
    <w:rsid w:val="00D75721"/>
    <w:rsid w:val="00D76297"/>
    <w:rsid w:val="00D81009"/>
    <w:rsid w:val="00D82547"/>
    <w:rsid w:val="00D8314D"/>
    <w:rsid w:val="00D85907"/>
    <w:rsid w:val="00D86C5F"/>
    <w:rsid w:val="00D86D9D"/>
    <w:rsid w:val="00D87E0C"/>
    <w:rsid w:val="00D947CB"/>
    <w:rsid w:val="00D9527E"/>
    <w:rsid w:val="00DA16B5"/>
    <w:rsid w:val="00DA1A84"/>
    <w:rsid w:val="00DA463B"/>
    <w:rsid w:val="00DA46C1"/>
    <w:rsid w:val="00DB0CE3"/>
    <w:rsid w:val="00DB25FB"/>
    <w:rsid w:val="00DB6407"/>
    <w:rsid w:val="00DB746B"/>
    <w:rsid w:val="00DC0BB6"/>
    <w:rsid w:val="00DC223B"/>
    <w:rsid w:val="00DC23EC"/>
    <w:rsid w:val="00DC281B"/>
    <w:rsid w:val="00DC3BE7"/>
    <w:rsid w:val="00DC762D"/>
    <w:rsid w:val="00DD242F"/>
    <w:rsid w:val="00DD59E5"/>
    <w:rsid w:val="00DE09A5"/>
    <w:rsid w:val="00DE3596"/>
    <w:rsid w:val="00DE5625"/>
    <w:rsid w:val="00DE5645"/>
    <w:rsid w:val="00DE7ADF"/>
    <w:rsid w:val="00DF119F"/>
    <w:rsid w:val="00DF40FF"/>
    <w:rsid w:val="00DF76EA"/>
    <w:rsid w:val="00E10623"/>
    <w:rsid w:val="00E1309B"/>
    <w:rsid w:val="00E202B7"/>
    <w:rsid w:val="00E21A03"/>
    <w:rsid w:val="00E22282"/>
    <w:rsid w:val="00E23367"/>
    <w:rsid w:val="00E3474E"/>
    <w:rsid w:val="00E434C2"/>
    <w:rsid w:val="00E45B77"/>
    <w:rsid w:val="00E47DA6"/>
    <w:rsid w:val="00E5201A"/>
    <w:rsid w:val="00E542D8"/>
    <w:rsid w:val="00E61613"/>
    <w:rsid w:val="00E63E12"/>
    <w:rsid w:val="00E65B99"/>
    <w:rsid w:val="00E71479"/>
    <w:rsid w:val="00E73521"/>
    <w:rsid w:val="00E80463"/>
    <w:rsid w:val="00E80EA3"/>
    <w:rsid w:val="00E83E0B"/>
    <w:rsid w:val="00E86CB0"/>
    <w:rsid w:val="00E8742D"/>
    <w:rsid w:val="00E9268F"/>
    <w:rsid w:val="00E940C6"/>
    <w:rsid w:val="00EA181B"/>
    <w:rsid w:val="00EA3E72"/>
    <w:rsid w:val="00EA4168"/>
    <w:rsid w:val="00EA525C"/>
    <w:rsid w:val="00EB00E6"/>
    <w:rsid w:val="00EB0DAF"/>
    <w:rsid w:val="00EB174B"/>
    <w:rsid w:val="00EB6AF0"/>
    <w:rsid w:val="00EC0497"/>
    <w:rsid w:val="00EC4284"/>
    <w:rsid w:val="00EC49F7"/>
    <w:rsid w:val="00EC61C5"/>
    <w:rsid w:val="00ED0622"/>
    <w:rsid w:val="00ED06B6"/>
    <w:rsid w:val="00ED2740"/>
    <w:rsid w:val="00ED2B67"/>
    <w:rsid w:val="00ED2D11"/>
    <w:rsid w:val="00ED688E"/>
    <w:rsid w:val="00EE3D42"/>
    <w:rsid w:val="00EE41F8"/>
    <w:rsid w:val="00EE50B9"/>
    <w:rsid w:val="00EE6590"/>
    <w:rsid w:val="00EF2A89"/>
    <w:rsid w:val="00EF2F89"/>
    <w:rsid w:val="00EF793C"/>
    <w:rsid w:val="00F00E6B"/>
    <w:rsid w:val="00F025DB"/>
    <w:rsid w:val="00F112B5"/>
    <w:rsid w:val="00F11D06"/>
    <w:rsid w:val="00F124E3"/>
    <w:rsid w:val="00F21176"/>
    <w:rsid w:val="00F21181"/>
    <w:rsid w:val="00F23082"/>
    <w:rsid w:val="00F234D3"/>
    <w:rsid w:val="00F251D9"/>
    <w:rsid w:val="00F2536D"/>
    <w:rsid w:val="00F26C6D"/>
    <w:rsid w:val="00F32EE1"/>
    <w:rsid w:val="00F339F5"/>
    <w:rsid w:val="00F35027"/>
    <w:rsid w:val="00F364D9"/>
    <w:rsid w:val="00F3722E"/>
    <w:rsid w:val="00F44901"/>
    <w:rsid w:val="00F46DE9"/>
    <w:rsid w:val="00F553CF"/>
    <w:rsid w:val="00F568B3"/>
    <w:rsid w:val="00F60B16"/>
    <w:rsid w:val="00F647AF"/>
    <w:rsid w:val="00F70AB2"/>
    <w:rsid w:val="00F7178E"/>
    <w:rsid w:val="00F71CD3"/>
    <w:rsid w:val="00F72848"/>
    <w:rsid w:val="00F75C16"/>
    <w:rsid w:val="00F8281C"/>
    <w:rsid w:val="00F82B8D"/>
    <w:rsid w:val="00F8332B"/>
    <w:rsid w:val="00F83ADE"/>
    <w:rsid w:val="00F840DD"/>
    <w:rsid w:val="00F843A4"/>
    <w:rsid w:val="00F84690"/>
    <w:rsid w:val="00F858B4"/>
    <w:rsid w:val="00F905FF"/>
    <w:rsid w:val="00F9216B"/>
    <w:rsid w:val="00F93176"/>
    <w:rsid w:val="00FA31F1"/>
    <w:rsid w:val="00FB1589"/>
    <w:rsid w:val="00FB16CE"/>
    <w:rsid w:val="00FB28BE"/>
    <w:rsid w:val="00FB2C21"/>
    <w:rsid w:val="00FB5F3E"/>
    <w:rsid w:val="00FC45F5"/>
    <w:rsid w:val="00FC76F0"/>
    <w:rsid w:val="00FD11B3"/>
    <w:rsid w:val="00FD1A6A"/>
    <w:rsid w:val="00FD299F"/>
    <w:rsid w:val="00FD454B"/>
    <w:rsid w:val="00FD6FA5"/>
    <w:rsid w:val="00FD7A99"/>
    <w:rsid w:val="00FD7D3D"/>
    <w:rsid w:val="00FE27FE"/>
    <w:rsid w:val="00FE74F4"/>
    <w:rsid w:val="00FF10D3"/>
    <w:rsid w:val="00FF1974"/>
    <w:rsid w:val="00FF49FD"/>
    <w:rsid w:val="00FF5B4A"/>
    <w:rsid w:val="00FF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21"/>
    <w:pPr>
      <w:ind w:left="720"/>
      <w:contextualSpacing/>
    </w:pPr>
  </w:style>
  <w:style w:type="paragraph" w:styleId="FootnoteText">
    <w:name w:val="footnote text"/>
    <w:basedOn w:val="Normal"/>
    <w:link w:val="FootnoteTextChar"/>
    <w:uiPriority w:val="99"/>
    <w:unhideWhenUsed/>
    <w:qFormat/>
    <w:rsid w:val="00467BA0"/>
  </w:style>
  <w:style w:type="character" w:customStyle="1" w:styleId="FootnoteTextChar">
    <w:name w:val="Footnote Text Char"/>
    <w:basedOn w:val="DefaultParagraphFont"/>
    <w:link w:val="FootnoteText"/>
    <w:uiPriority w:val="99"/>
    <w:rsid w:val="00467BA0"/>
  </w:style>
  <w:style w:type="character" w:styleId="FootnoteReference">
    <w:name w:val="footnote reference"/>
    <w:basedOn w:val="DefaultParagraphFont"/>
    <w:uiPriority w:val="99"/>
    <w:unhideWhenUsed/>
    <w:rsid w:val="00467BA0"/>
    <w:rPr>
      <w:vertAlign w:val="superscript"/>
    </w:rPr>
  </w:style>
  <w:style w:type="paragraph" w:styleId="NormalWeb">
    <w:name w:val="Normal (Web)"/>
    <w:basedOn w:val="Normal"/>
    <w:uiPriority w:val="99"/>
    <w:semiHidden/>
    <w:unhideWhenUsed/>
    <w:rsid w:val="00E80EA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80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EA3"/>
    <w:rPr>
      <w:rFonts w:ascii="Lucida Grande" w:hAnsi="Lucida Grande" w:cs="Lucida Grande"/>
      <w:sz w:val="18"/>
      <w:szCs w:val="18"/>
    </w:rPr>
  </w:style>
  <w:style w:type="character" w:styleId="Emphasis">
    <w:name w:val="Emphasis"/>
    <w:basedOn w:val="DefaultParagraphFont"/>
    <w:uiPriority w:val="20"/>
    <w:qFormat/>
    <w:rsid w:val="007B1787"/>
    <w:rPr>
      <w:i/>
      <w:iCs/>
    </w:rPr>
  </w:style>
  <w:style w:type="character" w:customStyle="1" w:styleId="apple-converted-space">
    <w:name w:val="apple-converted-space"/>
    <w:basedOn w:val="DefaultParagraphFont"/>
    <w:rsid w:val="001D5295"/>
  </w:style>
  <w:style w:type="character" w:styleId="Hyperlink">
    <w:name w:val="Hyperlink"/>
    <w:basedOn w:val="DefaultParagraphFont"/>
    <w:uiPriority w:val="99"/>
    <w:semiHidden/>
    <w:unhideWhenUsed/>
    <w:rsid w:val="001D5295"/>
    <w:rPr>
      <w:color w:val="0000FF"/>
      <w:u w:val="single"/>
    </w:rPr>
  </w:style>
  <w:style w:type="paragraph" w:styleId="Header">
    <w:name w:val="header"/>
    <w:basedOn w:val="Normal"/>
    <w:link w:val="HeaderChar"/>
    <w:uiPriority w:val="99"/>
    <w:unhideWhenUsed/>
    <w:rsid w:val="00A55932"/>
    <w:pPr>
      <w:tabs>
        <w:tab w:val="center" w:pos="4320"/>
        <w:tab w:val="right" w:pos="8640"/>
      </w:tabs>
    </w:pPr>
  </w:style>
  <w:style w:type="character" w:customStyle="1" w:styleId="HeaderChar">
    <w:name w:val="Header Char"/>
    <w:basedOn w:val="DefaultParagraphFont"/>
    <w:link w:val="Header"/>
    <w:uiPriority w:val="99"/>
    <w:rsid w:val="00A55932"/>
  </w:style>
  <w:style w:type="paragraph" w:styleId="Footer">
    <w:name w:val="footer"/>
    <w:basedOn w:val="Normal"/>
    <w:link w:val="FooterChar"/>
    <w:uiPriority w:val="99"/>
    <w:unhideWhenUsed/>
    <w:rsid w:val="00A55932"/>
    <w:pPr>
      <w:tabs>
        <w:tab w:val="center" w:pos="4320"/>
        <w:tab w:val="right" w:pos="8640"/>
      </w:tabs>
    </w:pPr>
  </w:style>
  <w:style w:type="character" w:customStyle="1" w:styleId="FooterChar">
    <w:name w:val="Footer Char"/>
    <w:basedOn w:val="DefaultParagraphFont"/>
    <w:link w:val="Footer"/>
    <w:uiPriority w:val="99"/>
    <w:rsid w:val="00A55932"/>
  </w:style>
  <w:style w:type="character" w:styleId="PageNumber">
    <w:name w:val="page number"/>
    <w:basedOn w:val="DefaultParagraphFont"/>
    <w:unhideWhenUsed/>
    <w:rsid w:val="00A55932"/>
  </w:style>
  <w:style w:type="character" w:styleId="CommentReference">
    <w:name w:val="annotation reference"/>
    <w:basedOn w:val="DefaultParagraphFont"/>
    <w:uiPriority w:val="99"/>
    <w:semiHidden/>
    <w:unhideWhenUsed/>
    <w:rsid w:val="00B41C7B"/>
    <w:rPr>
      <w:sz w:val="16"/>
      <w:szCs w:val="16"/>
    </w:rPr>
  </w:style>
  <w:style w:type="paragraph" w:styleId="CommentText">
    <w:name w:val="annotation text"/>
    <w:basedOn w:val="Normal"/>
    <w:link w:val="CommentTextChar"/>
    <w:uiPriority w:val="99"/>
    <w:semiHidden/>
    <w:unhideWhenUsed/>
    <w:rsid w:val="00B41C7B"/>
    <w:rPr>
      <w:sz w:val="20"/>
      <w:szCs w:val="20"/>
    </w:rPr>
  </w:style>
  <w:style w:type="character" w:customStyle="1" w:styleId="CommentTextChar">
    <w:name w:val="Comment Text Char"/>
    <w:basedOn w:val="DefaultParagraphFont"/>
    <w:link w:val="CommentText"/>
    <w:uiPriority w:val="99"/>
    <w:semiHidden/>
    <w:rsid w:val="00B41C7B"/>
    <w:rPr>
      <w:sz w:val="20"/>
      <w:szCs w:val="20"/>
    </w:rPr>
  </w:style>
  <w:style w:type="paragraph" w:styleId="CommentSubject">
    <w:name w:val="annotation subject"/>
    <w:basedOn w:val="CommentText"/>
    <w:next w:val="CommentText"/>
    <w:link w:val="CommentSubjectChar"/>
    <w:uiPriority w:val="99"/>
    <w:semiHidden/>
    <w:unhideWhenUsed/>
    <w:rsid w:val="00B41C7B"/>
    <w:rPr>
      <w:b/>
      <w:bCs/>
    </w:rPr>
  </w:style>
  <w:style w:type="character" w:customStyle="1" w:styleId="CommentSubjectChar">
    <w:name w:val="Comment Subject Char"/>
    <w:basedOn w:val="CommentTextChar"/>
    <w:link w:val="CommentSubject"/>
    <w:uiPriority w:val="99"/>
    <w:semiHidden/>
    <w:rsid w:val="00B41C7B"/>
    <w:rPr>
      <w:b/>
      <w:bCs/>
      <w:sz w:val="20"/>
      <w:szCs w:val="20"/>
    </w:rPr>
  </w:style>
  <w:style w:type="paragraph" w:styleId="Revision">
    <w:name w:val="Revision"/>
    <w:hidden/>
    <w:uiPriority w:val="99"/>
    <w:semiHidden/>
    <w:rsid w:val="00944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21"/>
    <w:pPr>
      <w:ind w:left="720"/>
      <w:contextualSpacing/>
    </w:pPr>
  </w:style>
  <w:style w:type="paragraph" w:styleId="FootnoteText">
    <w:name w:val="footnote text"/>
    <w:basedOn w:val="Normal"/>
    <w:link w:val="FootnoteTextChar"/>
    <w:uiPriority w:val="99"/>
    <w:unhideWhenUsed/>
    <w:qFormat/>
    <w:rsid w:val="00467BA0"/>
  </w:style>
  <w:style w:type="character" w:customStyle="1" w:styleId="FootnoteTextChar">
    <w:name w:val="Footnote Text Char"/>
    <w:basedOn w:val="DefaultParagraphFont"/>
    <w:link w:val="FootnoteText"/>
    <w:uiPriority w:val="99"/>
    <w:rsid w:val="00467BA0"/>
  </w:style>
  <w:style w:type="character" w:styleId="FootnoteReference">
    <w:name w:val="footnote reference"/>
    <w:basedOn w:val="DefaultParagraphFont"/>
    <w:uiPriority w:val="99"/>
    <w:unhideWhenUsed/>
    <w:rsid w:val="00467BA0"/>
    <w:rPr>
      <w:vertAlign w:val="superscript"/>
    </w:rPr>
  </w:style>
  <w:style w:type="paragraph" w:styleId="NormalWeb">
    <w:name w:val="Normal (Web)"/>
    <w:basedOn w:val="Normal"/>
    <w:uiPriority w:val="99"/>
    <w:semiHidden/>
    <w:unhideWhenUsed/>
    <w:rsid w:val="00E80EA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80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EA3"/>
    <w:rPr>
      <w:rFonts w:ascii="Lucida Grande" w:hAnsi="Lucida Grande" w:cs="Lucida Grande"/>
      <w:sz w:val="18"/>
      <w:szCs w:val="18"/>
    </w:rPr>
  </w:style>
  <w:style w:type="character" w:styleId="Emphasis">
    <w:name w:val="Emphasis"/>
    <w:basedOn w:val="DefaultParagraphFont"/>
    <w:uiPriority w:val="20"/>
    <w:qFormat/>
    <w:rsid w:val="007B1787"/>
    <w:rPr>
      <w:i/>
      <w:iCs/>
    </w:rPr>
  </w:style>
  <w:style w:type="character" w:customStyle="1" w:styleId="apple-converted-space">
    <w:name w:val="apple-converted-space"/>
    <w:basedOn w:val="DefaultParagraphFont"/>
    <w:rsid w:val="001D5295"/>
  </w:style>
  <w:style w:type="character" w:styleId="Hyperlink">
    <w:name w:val="Hyperlink"/>
    <w:basedOn w:val="DefaultParagraphFont"/>
    <w:uiPriority w:val="99"/>
    <w:semiHidden/>
    <w:unhideWhenUsed/>
    <w:rsid w:val="001D5295"/>
    <w:rPr>
      <w:color w:val="0000FF"/>
      <w:u w:val="single"/>
    </w:rPr>
  </w:style>
  <w:style w:type="paragraph" w:styleId="Header">
    <w:name w:val="header"/>
    <w:basedOn w:val="Normal"/>
    <w:link w:val="HeaderChar"/>
    <w:uiPriority w:val="99"/>
    <w:unhideWhenUsed/>
    <w:rsid w:val="00A55932"/>
    <w:pPr>
      <w:tabs>
        <w:tab w:val="center" w:pos="4320"/>
        <w:tab w:val="right" w:pos="8640"/>
      </w:tabs>
    </w:pPr>
  </w:style>
  <w:style w:type="character" w:customStyle="1" w:styleId="HeaderChar">
    <w:name w:val="Header Char"/>
    <w:basedOn w:val="DefaultParagraphFont"/>
    <w:link w:val="Header"/>
    <w:uiPriority w:val="99"/>
    <w:rsid w:val="00A55932"/>
  </w:style>
  <w:style w:type="paragraph" w:styleId="Footer">
    <w:name w:val="footer"/>
    <w:basedOn w:val="Normal"/>
    <w:link w:val="FooterChar"/>
    <w:uiPriority w:val="99"/>
    <w:unhideWhenUsed/>
    <w:rsid w:val="00A55932"/>
    <w:pPr>
      <w:tabs>
        <w:tab w:val="center" w:pos="4320"/>
        <w:tab w:val="right" w:pos="8640"/>
      </w:tabs>
    </w:pPr>
  </w:style>
  <w:style w:type="character" w:customStyle="1" w:styleId="FooterChar">
    <w:name w:val="Footer Char"/>
    <w:basedOn w:val="DefaultParagraphFont"/>
    <w:link w:val="Footer"/>
    <w:uiPriority w:val="99"/>
    <w:rsid w:val="00A55932"/>
  </w:style>
  <w:style w:type="character" w:styleId="PageNumber">
    <w:name w:val="page number"/>
    <w:basedOn w:val="DefaultParagraphFont"/>
    <w:unhideWhenUsed/>
    <w:rsid w:val="00A55932"/>
  </w:style>
  <w:style w:type="character" w:styleId="CommentReference">
    <w:name w:val="annotation reference"/>
    <w:basedOn w:val="DefaultParagraphFont"/>
    <w:uiPriority w:val="99"/>
    <w:semiHidden/>
    <w:unhideWhenUsed/>
    <w:rsid w:val="00B41C7B"/>
    <w:rPr>
      <w:sz w:val="16"/>
      <w:szCs w:val="16"/>
    </w:rPr>
  </w:style>
  <w:style w:type="paragraph" w:styleId="CommentText">
    <w:name w:val="annotation text"/>
    <w:basedOn w:val="Normal"/>
    <w:link w:val="CommentTextChar"/>
    <w:uiPriority w:val="99"/>
    <w:semiHidden/>
    <w:unhideWhenUsed/>
    <w:rsid w:val="00B41C7B"/>
    <w:rPr>
      <w:sz w:val="20"/>
      <w:szCs w:val="20"/>
    </w:rPr>
  </w:style>
  <w:style w:type="character" w:customStyle="1" w:styleId="CommentTextChar">
    <w:name w:val="Comment Text Char"/>
    <w:basedOn w:val="DefaultParagraphFont"/>
    <w:link w:val="CommentText"/>
    <w:uiPriority w:val="99"/>
    <w:semiHidden/>
    <w:rsid w:val="00B41C7B"/>
    <w:rPr>
      <w:sz w:val="20"/>
      <w:szCs w:val="20"/>
    </w:rPr>
  </w:style>
  <w:style w:type="paragraph" w:styleId="CommentSubject">
    <w:name w:val="annotation subject"/>
    <w:basedOn w:val="CommentText"/>
    <w:next w:val="CommentText"/>
    <w:link w:val="CommentSubjectChar"/>
    <w:uiPriority w:val="99"/>
    <w:semiHidden/>
    <w:unhideWhenUsed/>
    <w:rsid w:val="00B41C7B"/>
    <w:rPr>
      <w:b/>
      <w:bCs/>
    </w:rPr>
  </w:style>
  <w:style w:type="character" w:customStyle="1" w:styleId="CommentSubjectChar">
    <w:name w:val="Comment Subject Char"/>
    <w:basedOn w:val="CommentTextChar"/>
    <w:link w:val="CommentSubject"/>
    <w:uiPriority w:val="99"/>
    <w:semiHidden/>
    <w:rsid w:val="00B41C7B"/>
    <w:rPr>
      <w:b/>
      <w:bCs/>
      <w:sz w:val="20"/>
      <w:szCs w:val="20"/>
    </w:rPr>
  </w:style>
  <w:style w:type="paragraph" w:styleId="Revision">
    <w:name w:val="Revision"/>
    <w:hidden/>
    <w:uiPriority w:val="99"/>
    <w:semiHidden/>
    <w:rsid w:val="0094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5913">
      <w:bodyDiv w:val="1"/>
      <w:marLeft w:val="0"/>
      <w:marRight w:val="0"/>
      <w:marTop w:val="0"/>
      <w:marBottom w:val="0"/>
      <w:divBdr>
        <w:top w:val="none" w:sz="0" w:space="0" w:color="auto"/>
        <w:left w:val="none" w:sz="0" w:space="0" w:color="auto"/>
        <w:bottom w:val="none" w:sz="0" w:space="0" w:color="auto"/>
        <w:right w:val="none" w:sz="0" w:space="0" w:color="auto"/>
      </w:divBdr>
    </w:div>
    <w:div w:id="331179958">
      <w:bodyDiv w:val="1"/>
      <w:marLeft w:val="0"/>
      <w:marRight w:val="0"/>
      <w:marTop w:val="0"/>
      <w:marBottom w:val="0"/>
      <w:divBdr>
        <w:top w:val="none" w:sz="0" w:space="0" w:color="auto"/>
        <w:left w:val="none" w:sz="0" w:space="0" w:color="auto"/>
        <w:bottom w:val="none" w:sz="0" w:space="0" w:color="auto"/>
        <w:right w:val="none" w:sz="0" w:space="0" w:color="auto"/>
      </w:divBdr>
    </w:div>
    <w:div w:id="1220704460">
      <w:bodyDiv w:val="1"/>
      <w:marLeft w:val="0"/>
      <w:marRight w:val="0"/>
      <w:marTop w:val="0"/>
      <w:marBottom w:val="0"/>
      <w:divBdr>
        <w:top w:val="none" w:sz="0" w:space="0" w:color="auto"/>
        <w:left w:val="none" w:sz="0" w:space="0" w:color="auto"/>
        <w:bottom w:val="none" w:sz="0" w:space="0" w:color="auto"/>
        <w:right w:val="none" w:sz="0" w:space="0" w:color="auto"/>
      </w:divBdr>
    </w:div>
    <w:div w:id="132698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5387-8E17-44FA-966E-A67B144D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Lieu</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it</dc:creator>
  <cp:lastModifiedBy>ADFMIN</cp:lastModifiedBy>
  <cp:revision>30</cp:revision>
  <cp:lastPrinted>2022-10-28T02:28:00Z</cp:lastPrinted>
  <dcterms:created xsi:type="dcterms:W3CDTF">2022-09-21T04:18:00Z</dcterms:created>
  <dcterms:modified xsi:type="dcterms:W3CDTF">2022-10-28T02:29:00Z</dcterms:modified>
</cp:coreProperties>
</file>